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55" w:rsidRPr="005A221F" w:rsidRDefault="00C80455" w:rsidP="00C80455">
      <w:pPr>
        <w:ind w:left="0" w:firstLine="0"/>
        <w:jc w:val="center"/>
        <w:rPr>
          <w:b/>
          <w:sz w:val="28"/>
          <w:szCs w:val="24"/>
          <w:u w:val="single"/>
        </w:rPr>
      </w:pPr>
      <w:r w:rsidRPr="005A221F">
        <w:rPr>
          <w:b/>
          <w:sz w:val="28"/>
          <w:szCs w:val="24"/>
          <w:u w:val="single"/>
        </w:rPr>
        <w:t>NOTICE TO LANDLORDS</w:t>
      </w:r>
    </w:p>
    <w:p w:rsidR="00C80455" w:rsidRPr="005A221F" w:rsidRDefault="00C80455" w:rsidP="00C80455">
      <w:pPr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 xml:space="preserve">MaineHousing screens only for program eligibility.  </w:t>
      </w:r>
      <w:proofErr w:type="gramStart"/>
      <w:r w:rsidRPr="005A221F">
        <w:rPr>
          <w:sz w:val="28"/>
          <w:szCs w:val="24"/>
        </w:rPr>
        <w:t>Landlords</w:t>
      </w:r>
      <w:proofErr w:type="gramEnd"/>
      <w:r w:rsidRPr="005A221F">
        <w:rPr>
          <w:sz w:val="28"/>
          <w:szCs w:val="24"/>
        </w:rPr>
        <w:t xml:space="preserve"> are responsible for their own tenant screening.  </w:t>
      </w:r>
    </w:p>
    <w:p w:rsidR="00C80455" w:rsidRPr="005A221F" w:rsidRDefault="00C80455" w:rsidP="00C80455">
      <w:pPr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>Upon receipt of the enclosed Landlord Packet, MaineHousing will verify the eligibility of the unit and schedule an inspection within 15 days.</w:t>
      </w:r>
    </w:p>
    <w:p w:rsidR="00C80455" w:rsidRPr="005A221F" w:rsidRDefault="00C80455" w:rsidP="00C80455">
      <w:pPr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 xml:space="preserve">After the unit passes inspection and we determine the actual move-in date, you </w:t>
      </w:r>
      <w:proofErr w:type="gramStart"/>
      <w:r w:rsidRPr="005A221F">
        <w:rPr>
          <w:sz w:val="28"/>
          <w:szCs w:val="24"/>
        </w:rPr>
        <w:t>will be asked</w:t>
      </w:r>
      <w:proofErr w:type="gramEnd"/>
      <w:r w:rsidRPr="005A221F">
        <w:rPr>
          <w:sz w:val="28"/>
          <w:szCs w:val="24"/>
        </w:rPr>
        <w:t xml:space="preserve"> to execute a lease with the tenant and a Housing Assistance Contract with MaineHousing.</w:t>
      </w:r>
    </w:p>
    <w:p w:rsidR="00C80455" w:rsidRPr="005A221F" w:rsidRDefault="00C80455" w:rsidP="00C80455">
      <w:pPr>
        <w:spacing w:after="240"/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 xml:space="preserve">The Housing Assistance Payment (HAP) Contract will be supplied to Landlord for </w:t>
      </w:r>
      <w:proofErr w:type="gramStart"/>
      <w:r w:rsidRPr="005A221F">
        <w:rPr>
          <w:sz w:val="28"/>
          <w:szCs w:val="24"/>
        </w:rPr>
        <w:t>signature</w:t>
      </w:r>
      <w:proofErr w:type="gramEnd"/>
      <w:r w:rsidRPr="005A221F">
        <w:rPr>
          <w:sz w:val="28"/>
          <w:szCs w:val="24"/>
        </w:rPr>
        <w:t xml:space="preserve"> as it is a contract between MaineHousing and the Landlord.</w:t>
      </w:r>
    </w:p>
    <w:p w:rsidR="00C80455" w:rsidRPr="005A221F" w:rsidRDefault="00C80455" w:rsidP="00C80455">
      <w:pPr>
        <w:spacing w:after="240"/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 xml:space="preserve">MaineHousing will also supply the </w:t>
      </w:r>
      <w:proofErr w:type="gramStart"/>
      <w:r w:rsidRPr="005A221F">
        <w:rPr>
          <w:sz w:val="28"/>
          <w:szCs w:val="24"/>
        </w:rPr>
        <w:t>landlord</w:t>
      </w:r>
      <w:proofErr w:type="gramEnd"/>
      <w:r w:rsidRPr="005A221F">
        <w:rPr>
          <w:sz w:val="28"/>
          <w:szCs w:val="24"/>
        </w:rPr>
        <w:t xml:space="preserve"> with a copy of the required Violence against Women Act (VAWA) Lease Addendum which must be signed by the tenant and landlord and returned to MaineHousing with the HAP contract.</w:t>
      </w:r>
    </w:p>
    <w:p w:rsidR="00C80455" w:rsidRPr="005A221F" w:rsidRDefault="00C80455" w:rsidP="00C80455">
      <w:pPr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 xml:space="preserve">The </w:t>
      </w:r>
      <w:proofErr w:type="gramStart"/>
      <w:r w:rsidRPr="005A221F">
        <w:rPr>
          <w:sz w:val="28"/>
          <w:szCs w:val="24"/>
        </w:rPr>
        <w:t>Lease must be supplied by the Landlord</w:t>
      </w:r>
      <w:proofErr w:type="gramEnd"/>
      <w:r w:rsidRPr="005A221F">
        <w:rPr>
          <w:sz w:val="28"/>
          <w:szCs w:val="24"/>
        </w:rPr>
        <w:t xml:space="preserve"> as it is a contract between the Landlord and Tenant.  MaineHousing is not a party to the lease and therefore cannot enforce it.</w:t>
      </w:r>
    </w:p>
    <w:p w:rsidR="00C80455" w:rsidRPr="005A221F" w:rsidRDefault="00C80455" w:rsidP="00C80455">
      <w:pPr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>The lease must contain the following items:</w:t>
      </w:r>
    </w:p>
    <w:p w:rsidR="00C80455" w:rsidRPr="005A221F" w:rsidRDefault="00C80455" w:rsidP="00C8045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A221F">
        <w:rPr>
          <w:sz w:val="28"/>
          <w:szCs w:val="24"/>
        </w:rPr>
        <w:t>Landlord and Tenant Names</w:t>
      </w:r>
    </w:p>
    <w:p w:rsidR="00C80455" w:rsidRPr="005A221F" w:rsidRDefault="00C80455" w:rsidP="00C8045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A221F">
        <w:rPr>
          <w:sz w:val="28"/>
          <w:szCs w:val="24"/>
        </w:rPr>
        <w:t>Unit Address</w:t>
      </w:r>
    </w:p>
    <w:p w:rsidR="00C80455" w:rsidRPr="005A221F" w:rsidRDefault="00C80455" w:rsidP="00C8045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A221F">
        <w:rPr>
          <w:sz w:val="28"/>
          <w:szCs w:val="24"/>
        </w:rPr>
        <w:t>Lease effective date (This must coincide with the Housing Assistance Payment Contract)</w:t>
      </w:r>
    </w:p>
    <w:p w:rsidR="00C80455" w:rsidRPr="005A221F" w:rsidRDefault="00C80455" w:rsidP="00C8045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A221F">
        <w:rPr>
          <w:sz w:val="28"/>
          <w:szCs w:val="24"/>
        </w:rPr>
        <w:t>Lease term (including initial term of 12 months and provisions for renewal)</w:t>
      </w:r>
    </w:p>
    <w:p w:rsidR="00C80455" w:rsidRPr="005A221F" w:rsidRDefault="00C80455" w:rsidP="00C8045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A221F">
        <w:rPr>
          <w:sz w:val="28"/>
          <w:szCs w:val="24"/>
        </w:rPr>
        <w:t>Contract Rent Amount</w:t>
      </w:r>
    </w:p>
    <w:p w:rsidR="00C80455" w:rsidRPr="005A221F" w:rsidRDefault="00C80455" w:rsidP="00C80455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A221F">
        <w:rPr>
          <w:sz w:val="28"/>
          <w:szCs w:val="24"/>
        </w:rPr>
        <w:t>Tenant and Landlord signatures</w:t>
      </w:r>
    </w:p>
    <w:p w:rsidR="00C80455" w:rsidRPr="005A221F" w:rsidRDefault="00C80455" w:rsidP="00C80455">
      <w:pPr>
        <w:spacing w:after="0"/>
        <w:ind w:left="0" w:firstLine="0"/>
        <w:rPr>
          <w:b/>
          <w:sz w:val="28"/>
          <w:szCs w:val="24"/>
          <w:u w:val="single"/>
        </w:rPr>
      </w:pPr>
      <w:r w:rsidRPr="005A221F">
        <w:rPr>
          <w:b/>
          <w:sz w:val="28"/>
          <w:szCs w:val="24"/>
          <w:u w:val="single"/>
        </w:rPr>
        <w:t>IMPORTANT PAYMENT INFORMATION:</w:t>
      </w:r>
    </w:p>
    <w:p w:rsidR="00C80455" w:rsidRPr="005A221F" w:rsidRDefault="00C80455" w:rsidP="00C80455">
      <w:pPr>
        <w:spacing w:after="0" w:line="276" w:lineRule="auto"/>
        <w:ind w:left="0" w:firstLine="0"/>
        <w:rPr>
          <w:sz w:val="28"/>
          <w:szCs w:val="24"/>
        </w:rPr>
      </w:pPr>
      <w:r w:rsidRPr="005A221F">
        <w:rPr>
          <w:sz w:val="28"/>
          <w:szCs w:val="24"/>
        </w:rPr>
        <w:t xml:space="preserve">MaineHousing can start payment on a unit once it passes a Housing Quality Standards Inspection.  However, HAP payments cannot be issued to an Owner until </w:t>
      </w:r>
      <w:proofErr w:type="gramStart"/>
      <w:r w:rsidRPr="005A221F">
        <w:rPr>
          <w:sz w:val="28"/>
          <w:szCs w:val="24"/>
        </w:rPr>
        <w:t>an executed HAP Contract VAWA Addendum and Lease are received by MaineHousing</w:t>
      </w:r>
      <w:proofErr w:type="gramEnd"/>
      <w:r w:rsidRPr="005A221F">
        <w:rPr>
          <w:sz w:val="28"/>
          <w:szCs w:val="24"/>
        </w:rPr>
        <w:t>.</w:t>
      </w:r>
    </w:p>
    <w:p w:rsidR="00C80455" w:rsidRPr="005A221F" w:rsidRDefault="00C80455" w:rsidP="00C80455">
      <w:pPr>
        <w:spacing w:after="0"/>
        <w:ind w:left="0" w:firstLine="0"/>
        <w:jc w:val="center"/>
        <w:rPr>
          <w:b/>
          <w:sz w:val="20"/>
          <w:szCs w:val="24"/>
        </w:rPr>
      </w:pPr>
    </w:p>
    <w:p w:rsidR="0092574F" w:rsidRPr="00487800" w:rsidRDefault="00C80455" w:rsidP="00C80455">
      <w:pPr>
        <w:ind w:left="0" w:firstLine="0"/>
      </w:pPr>
      <w:r w:rsidRPr="005A221F">
        <w:rPr>
          <w:b/>
          <w:sz w:val="32"/>
          <w:szCs w:val="24"/>
        </w:rPr>
        <w:t xml:space="preserve">Please note that MaineHousing issues HAP payments at the beginning of the month only.  Therefore, HAP payment </w:t>
      </w:r>
      <w:proofErr w:type="gramStart"/>
      <w:r w:rsidRPr="005A221F">
        <w:rPr>
          <w:b/>
          <w:sz w:val="32"/>
          <w:szCs w:val="24"/>
        </w:rPr>
        <w:t>will be made</w:t>
      </w:r>
      <w:proofErr w:type="gramEnd"/>
      <w:r w:rsidRPr="005A221F">
        <w:rPr>
          <w:b/>
          <w:sz w:val="32"/>
          <w:szCs w:val="24"/>
        </w:rPr>
        <w:t xml:space="preserve"> to an Owner at the beginning of the month following the receipt of the executed HAP Contract VAWA Addendum and Lease</w:t>
      </w:r>
      <w:bookmarkStart w:id="0" w:name="_GoBack"/>
      <w:bookmarkEnd w:id="0"/>
    </w:p>
    <w:sectPr w:rsidR="0092574F" w:rsidRPr="00487800" w:rsidSect="00C80455">
      <w:headerReference w:type="first" r:id="rId7"/>
      <w:footerReference w:type="first" r:id="rId8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55" w:rsidRDefault="00C80455" w:rsidP="00B069E0">
      <w:r>
        <w:separator/>
      </w:r>
    </w:p>
  </w:endnote>
  <w:endnote w:type="continuationSeparator" w:id="0">
    <w:p w:rsidR="00C80455" w:rsidRDefault="00C80455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513F6F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55" w:rsidRDefault="00C80455" w:rsidP="00B069E0">
      <w:r>
        <w:separator/>
      </w:r>
    </w:p>
  </w:footnote>
  <w:footnote w:type="continuationSeparator" w:id="0">
    <w:p w:rsidR="00C80455" w:rsidRDefault="00C80455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B3FDE"/>
    <w:multiLevelType w:val="hybridMultilevel"/>
    <w:tmpl w:val="E884A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55"/>
    <w:rsid w:val="000C4141"/>
    <w:rsid w:val="00116D37"/>
    <w:rsid w:val="001C35CF"/>
    <w:rsid w:val="00213A97"/>
    <w:rsid w:val="002B5D44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80455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BE225BF4-A335-4BC9-93D3-6191E4A2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55"/>
    <w:pPr>
      <w:spacing w:after="200"/>
      <w:ind w:left="1080" w:hanging="360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0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1</cp:revision>
  <cp:lastPrinted>2020-03-24T14:47:00Z</cp:lastPrinted>
  <dcterms:created xsi:type="dcterms:W3CDTF">2020-06-22T13:07:00Z</dcterms:created>
  <dcterms:modified xsi:type="dcterms:W3CDTF">2020-06-22T13:08:00Z</dcterms:modified>
</cp:coreProperties>
</file>