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0D" w:rsidRPr="006C080D" w:rsidRDefault="006C080D">
      <w:pPr>
        <w:rPr>
          <w:b/>
        </w:rPr>
      </w:pPr>
      <w:bookmarkStart w:id="0" w:name="_GoBack"/>
      <w:bookmarkEnd w:id="0"/>
      <w:r>
        <w:t xml:space="preserve">                                               </w:t>
      </w:r>
      <w:r w:rsidRPr="006C080D">
        <w:rPr>
          <w:b/>
        </w:rPr>
        <w:t>Connecticut Interagency Council on Supportive Housing</w:t>
      </w:r>
    </w:p>
    <w:p w:rsidR="006C080D" w:rsidRDefault="006C080D"/>
    <w:p w:rsidR="0068205C" w:rsidRDefault="002D154E">
      <w:r>
        <w:t>The Connecticut Interagency Council on Supportive Housing (IACSH)</w:t>
      </w:r>
      <w:r w:rsidR="005B0969">
        <w:t xml:space="preserve"> </w:t>
      </w:r>
      <w:r>
        <w:t xml:space="preserve">was created by an act of the Legislature in the </w:t>
      </w:r>
      <w:r w:rsidR="005B0969">
        <w:t>early</w:t>
      </w:r>
      <w:r>
        <w:t xml:space="preserve">-1990’s. The goal of the legislation was to create a framework for attacking the issue of homelessness. Acknowledgement that homelessness </w:t>
      </w:r>
      <w:r w:rsidRPr="005B0969">
        <w:t>was caused by a variety of factors</w:t>
      </w:r>
      <w:r>
        <w:t xml:space="preserve"> </w:t>
      </w:r>
      <w:r w:rsidR="005B0969">
        <w:t>made cross</w:t>
      </w:r>
      <w:r>
        <w:t xml:space="preserve">-agency collaboration </w:t>
      </w:r>
      <w:r w:rsidR="005B0969">
        <w:t>essential</w:t>
      </w:r>
      <w:r>
        <w:t>.</w:t>
      </w:r>
    </w:p>
    <w:p w:rsidR="002D154E" w:rsidRDefault="002D154E">
      <w:r>
        <w:t xml:space="preserve">The legislation called for the drafting of a </w:t>
      </w:r>
      <w:r w:rsidRPr="006C080D">
        <w:t>Memorandum of Understanding</w:t>
      </w:r>
      <w:r w:rsidR="005B0969" w:rsidRPr="006C080D">
        <w:t xml:space="preserve"> </w:t>
      </w:r>
      <w:r w:rsidRPr="006C080D">
        <w:t>(MOU)</w:t>
      </w:r>
      <w:r>
        <w:t xml:space="preserve"> among key agencies. The initial agencies </w:t>
      </w:r>
      <w:r w:rsidR="005B0969">
        <w:t>were:</w:t>
      </w:r>
      <w:r>
        <w:t xml:space="preserve"> Office of Policy and Management, CT Housing Finance </w:t>
      </w:r>
      <w:r w:rsidR="005B0969">
        <w:t>Authority (</w:t>
      </w:r>
      <w:r>
        <w:t>CHFA)</w:t>
      </w:r>
      <w:r w:rsidR="005B0969">
        <w:t>, Department</w:t>
      </w:r>
      <w:r>
        <w:t xml:space="preserve"> of Economic and Community Development (DECD)</w:t>
      </w:r>
      <w:r w:rsidR="006C080D">
        <w:t>(later Department of Housing(DoH)</w:t>
      </w:r>
      <w:r>
        <w:t xml:space="preserve">, Department of Mental Health and Addiction </w:t>
      </w:r>
      <w:r w:rsidR="005B0969">
        <w:t>Services (</w:t>
      </w:r>
      <w:r>
        <w:t>DMHAS) and the Department of Social Services</w:t>
      </w:r>
      <w:r w:rsidR="006C080D">
        <w:t>(DSS)</w:t>
      </w:r>
      <w:r>
        <w:t>. CSH was</w:t>
      </w:r>
      <w:r w:rsidR="005B0969">
        <w:t xml:space="preserve"> initially</w:t>
      </w:r>
      <w:r>
        <w:t xml:space="preserve"> a party to the MOU whose role was to provide technical assistance to the state a</w:t>
      </w:r>
      <w:r w:rsidR="005B0969">
        <w:t>s well as to parties applying for funding.</w:t>
      </w:r>
      <w:r>
        <w:t xml:space="preserve">  </w:t>
      </w:r>
    </w:p>
    <w:p w:rsidR="002D154E" w:rsidRDefault="002D154E">
      <w:r>
        <w:t xml:space="preserve">The MOU spelled out what resources each agency would provide. OPM served as the coordinating </w:t>
      </w:r>
      <w:r w:rsidR="005B0969">
        <w:t>agency</w:t>
      </w:r>
      <w:r>
        <w:t xml:space="preserve"> ensuring that the collaboration was coordinated at a high level.</w:t>
      </w:r>
      <w:r w:rsidR="005B0969">
        <w:t xml:space="preserve"> One critical resource which OPM directly controlled was </w:t>
      </w:r>
      <w:r w:rsidR="005B0969" w:rsidRPr="006C080D">
        <w:t>appropriation of funding to service debt</w:t>
      </w:r>
      <w:r w:rsidR="005B0969">
        <w:t xml:space="preserve"> on bonds issued for supportive housing capital projects.</w:t>
      </w:r>
    </w:p>
    <w:p w:rsidR="005B0969" w:rsidRDefault="005B0969">
      <w:r>
        <w:t xml:space="preserve">Membership on the Council consisted of Commissioners of the respective agencies. A working group of high level staff for each agency met (and still meets) monthly. The IACSH reports periodically to the state legislature. </w:t>
      </w:r>
    </w:p>
    <w:p w:rsidR="005B0969" w:rsidRDefault="005B0969" w:rsidP="005B0969">
      <w:r>
        <w:t xml:space="preserve">The initial task of the IACSH was to issue a unified </w:t>
      </w:r>
      <w:r w:rsidRPr="005B0969">
        <w:rPr>
          <w:i/>
        </w:rPr>
        <w:t>Request for Proposals</w:t>
      </w:r>
      <w:r>
        <w:t xml:space="preserve"> to create supportive housing for chronically homeless individuals.</w:t>
      </w:r>
    </w:p>
    <w:p w:rsidR="002D154E" w:rsidRDefault="002D154E">
      <w:r>
        <w:t>CHFA took on the lead operating role, issuing the RFP and evaluating proposals, as</w:t>
      </w:r>
      <w:r w:rsidR="005B0969">
        <w:t>s</w:t>
      </w:r>
      <w:r>
        <w:t>i</w:t>
      </w:r>
      <w:r w:rsidR="005B0969">
        <w:t>s</w:t>
      </w:r>
      <w:r>
        <w:t>ted by a sub-group of the IACSH with representatives from each agency.</w:t>
      </w:r>
    </w:p>
    <w:p w:rsidR="005B0969" w:rsidRPr="005B0969" w:rsidRDefault="005B0969" w:rsidP="005B0969">
      <w:pPr>
        <w:spacing w:before="57"/>
        <w:ind w:right="146"/>
        <w:rPr>
          <w:rFonts w:ascii="Calibri" w:eastAsia="Perpetua" w:hAnsi="Calibri" w:cs="Perpetua"/>
        </w:rPr>
      </w:pPr>
      <w:r>
        <w:rPr>
          <w:rFonts w:ascii="Calibri" w:hAnsi="Calibri"/>
        </w:rPr>
        <w:t>C</w:t>
      </w:r>
      <w:r w:rsidRPr="005B0969">
        <w:rPr>
          <w:rFonts w:ascii="Calibri" w:hAnsi="Calibri"/>
        </w:rPr>
        <w:t xml:space="preserve">ross-agency collaboration in Connecticut helped create a powerful engine for supportive housing production. Combining </w:t>
      </w:r>
      <w:r>
        <w:rPr>
          <w:rFonts w:ascii="Calibri" w:hAnsi="Calibri"/>
        </w:rPr>
        <w:t>c</w:t>
      </w:r>
      <w:r w:rsidRPr="005B0969">
        <w:rPr>
          <w:rFonts w:ascii="Calibri" w:hAnsi="Calibri"/>
        </w:rPr>
        <w:t>apital for construction and long term operating reserves, funding for services, and project-based operating subsidies was a formula that created almost 2000 units of supportive housing in Connecticut. Some of those units were created in so-called “scattered site” rounds, where operating subsidies and services funding were attached to existing units of housing</w:t>
      </w:r>
      <w:r>
        <w:rPr>
          <w:rFonts w:ascii="Calibri" w:hAnsi="Calibri"/>
        </w:rPr>
        <w:t>, an approach which housed people relatively quickly but did nothing to address the overall shortage of housing, especially affordable housing in Connecticut.</w:t>
      </w:r>
      <w:r w:rsidRPr="005B0969">
        <w:rPr>
          <w:rFonts w:ascii="Calibri" w:hAnsi="Calibri"/>
        </w:rPr>
        <w:t xml:space="preserve">  </w:t>
      </w:r>
    </w:p>
    <w:p w:rsidR="005B0969" w:rsidRPr="005B0969" w:rsidRDefault="005B0969">
      <w:pPr>
        <w:rPr>
          <w:rFonts w:ascii="Calibri" w:hAnsi="Calibri"/>
        </w:rPr>
      </w:pPr>
      <w:r w:rsidRPr="005B0969">
        <w:rPr>
          <w:rFonts w:ascii="Calibri" w:hAnsi="Calibri"/>
        </w:rPr>
        <w:t xml:space="preserve"> Beginning in 1993, several RFP’s for Supportive Housing were issued. A description of the funding and results of each separate initiative is included below.</w:t>
      </w:r>
    </w:p>
    <w:p w:rsidR="006C080D" w:rsidRDefault="006C080D" w:rsidP="002D154E">
      <w:pPr>
        <w:ind w:left="580" w:right="580"/>
        <w:jc w:val="center"/>
        <w:rPr>
          <w:rFonts w:ascii="Perpetua" w:hAnsi="Perpetua"/>
          <w:b/>
          <w:u w:val="single" w:color="000000"/>
        </w:rPr>
      </w:pPr>
    </w:p>
    <w:p w:rsidR="006C080D" w:rsidRDefault="006C080D" w:rsidP="002D154E">
      <w:pPr>
        <w:ind w:left="580" w:right="580"/>
        <w:jc w:val="center"/>
        <w:rPr>
          <w:rFonts w:ascii="Perpetua" w:hAnsi="Perpetua"/>
          <w:b/>
          <w:u w:val="single" w:color="000000"/>
        </w:rPr>
      </w:pPr>
    </w:p>
    <w:p w:rsidR="002D154E" w:rsidRPr="00A07125" w:rsidRDefault="002D154E" w:rsidP="002D154E">
      <w:pPr>
        <w:ind w:left="580" w:right="580"/>
        <w:jc w:val="center"/>
        <w:rPr>
          <w:rFonts w:ascii="Perpetua" w:eastAsia="Perpetua" w:hAnsi="Perpetua" w:cs="Perpetua"/>
        </w:rPr>
      </w:pPr>
      <w:r w:rsidRPr="00A07125">
        <w:rPr>
          <w:rFonts w:ascii="Perpetua" w:hAnsi="Perpetua"/>
          <w:b/>
          <w:u w:val="single" w:color="000000"/>
        </w:rPr>
        <w:lastRenderedPageBreak/>
        <w:t>Connecticut Supportive Housing Initiatives</w:t>
      </w:r>
      <w:r w:rsidRPr="00A07125">
        <w:rPr>
          <w:rFonts w:ascii="Perpetua" w:hAnsi="Perpetua"/>
          <w:b/>
          <w:spacing w:val="-23"/>
          <w:u w:val="single" w:color="000000"/>
        </w:rPr>
        <w:t xml:space="preserve"> </w:t>
      </w:r>
      <w:r w:rsidRPr="00A07125">
        <w:rPr>
          <w:rFonts w:ascii="Perpetua" w:hAnsi="Perpetua"/>
          <w:b/>
          <w:u w:val="single" w:color="000000"/>
        </w:rPr>
        <w:t>1993-2015</w:t>
      </w:r>
    </w:p>
    <w:p w:rsidR="002D154E" w:rsidRPr="00A07125" w:rsidRDefault="002D154E" w:rsidP="002D154E">
      <w:pPr>
        <w:spacing w:before="9"/>
        <w:rPr>
          <w:rFonts w:ascii="Perpetua" w:eastAsia="Perpetua" w:hAnsi="Perpetua" w:cs="Perpetua"/>
          <w:b/>
          <w:bCs/>
        </w:rPr>
      </w:pPr>
    </w:p>
    <w:p w:rsidR="002D154E" w:rsidRPr="00A07125" w:rsidRDefault="002D154E" w:rsidP="002D154E">
      <w:pPr>
        <w:pStyle w:val="Heading4"/>
        <w:spacing w:before="77"/>
        <w:ind w:left="220" w:right="253"/>
        <w:rPr>
          <w:b w:val="0"/>
          <w:bCs w:val="0"/>
        </w:rPr>
      </w:pPr>
      <w:r w:rsidRPr="00A07125">
        <w:rPr>
          <w:u w:val="single" w:color="000000"/>
        </w:rPr>
        <w:t>Demonstration Program</w:t>
      </w:r>
      <w:r w:rsidRPr="00A07125">
        <w:rPr>
          <w:spacing w:val="-11"/>
          <w:u w:val="single" w:color="000000"/>
        </w:rPr>
        <w:t xml:space="preserve"> </w:t>
      </w:r>
      <w:r w:rsidRPr="00A07125">
        <w:rPr>
          <w:u w:val="single" w:color="000000"/>
        </w:rPr>
        <w:t>(1993-1998)</w:t>
      </w:r>
    </w:p>
    <w:p w:rsidR="002D154E" w:rsidRPr="00A07125" w:rsidRDefault="002D154E" w:rsidP="002D154E">
      <w:pPr>
        <w:pStyle w:val="BodyText"/>
        <w:spacing w:before="77"/>
        <w:ind w:left="220" w:right="253" w:firstLine="0"/>
      </w:pPr>
      <w:r w:rsidRPr="00A07125">
        <w:t xml:space="preserve">Developed Units - 281 </w:t>
      </w:r>
    </w:p>
    <w:tbl>
      <w:tblPr>
        <w:tblW w:w="0" w:type="auto"/>
        <w:tblInd w:w="107" w:type="dxa"/>
        <w:tblLayout w:type="fixed"/>
        <w:tblCellMar>
          <w:left w:w="0" w:type="dxa"/>
          <w:right w:w="0" w:type="dxa"/>
        </w:tblCellMar>
        <w:tblLook w:val="01E0" w:firstRow="1" w:lastRow="1" w:firstColumn="1" w:lastColumn="1" w:noHBand="0" w:noVBand="0"/>
      </w:tblPr>
      <w:tblGrid>
        <w:gridCol w:w="3193"/>
        <w:gridCol w:w="3192"/>
        <w:gridCol w:w="3193"/>
      </w:tblGrid>
      <w:tr w:rsidR="002D154E" w:rsidRPr="00A07125" w:rsidTr="00847938">
        <w:trPr>
          <w:cantSplit/>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b/>
              </w:rPr>
              <w:t>Funding</w:t>
            </w:r>
            <w:r w:rsidRPr="00A07125">
              <w:rPr>
                <w:rFonts w:ascii="Perpetua" w:hAnsi="Perpetua"/>
                <w:b/>
                <w:spacing w:val="-2"/>
              </w:rPr>
              <w:t xml:space="preserve"> </w:t>
            </w:r>
            <w:r w:rsidRPr="00A07125">
              <w:rPr>
                <w:rFonts w:ascii="Perpetua" w:hAnsi="Perpetua"/>
                <w:b/>
              </w:rPr>
              <w:t>Type</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b/>
              </w:rPr>
              <w:t>Source</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b/>
              </w:rPr>
              <w:t>Amount (one</w:t>
            </w:r>
            <w:r w:rsidRPr="00A07125">
              <w:rPr>
                <w:rFonts w:ascii="Perpetua" w:hAnsi="Perpetua"/>
                <w:b/>
                <w:spacing w:val="-9"/>
              </w:rPr>
              <w:t xml:space="preserve"> </w:t>
            </w:r>
            <w:r w:rsidRPr="00A07125">
              <w:rPr>
                <w:rFonts w:ascii="Perpetua" w:hAnsi="Perpetua"/>
                <w:b/>
              </w:rPr>
              <w:t>time/annual)</w:t>
            </w:r>
          </w:p>
        </w:tc>
      </w:tr>
      <w:tr w:rsidR="002D154E" w:rsidRPr="00A07125" w:rsidTr="00847938">
        <w:trPr>
          <w:trHeight w:hRule="exact" w:val="51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ight="525"/>
              <w:rPr>
                <w:rFonts w:ascii="Perpetua" w:eastAsia="Perpetua" w:hAnsi="Perpetua" w:cs="Perpetua"/>
              </w:rPr>
            </w:pPr>
            <w:r w:rsidRPr="00A07125">
              <w:rPr>
                <w:rFonts w:ascii="Perpetua" w:hAnsi="Perpetua"/>
              </w:rPr>
              <w:t>Predevelopment funding (loans, grants, and technical</w:t>
            </w:r>
            <w:r w:rsidRPr="00A07125">
              <w:rPr>
                <w:rFonts w:ascii="Perpetua" w:hAnsi="Perpetua"/>
                <w:spacing w:val="-11"/>
              </w:rPr>
              <w:t xml:space="preserve"> </w:t>
            </w:r>
            <w:r w:rsidRPr="00A07125">
              <w:rPr>
                <w:rFonts w:ascii="Perpetua" w:hAnsi="Perpetua"/>
              </w:rPr>
              <w:t>assistance)</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CSH</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$2.3 million (one</w:t>
            </w:r>
            <w:r w:rsidRPr="00A07125">
              <w:rPr>
                <w:rFonts w:ascii="Perpetua" w:hAnsi="Perpetua"/>
                <w:spacing w:val="-4"/>
              </w:rPr>
              <w:t xml:space="preserve"> </w:t>
            </w:r>
            <w:r w:rsidRPr="00A07125">
              <w:rPr>
                <w:rFonts w:ascii="Perpetua" w:hAnsi="Perpetua"/>
              </w:rPr>
              <w:t>time)</w:t>
            </w:r>
          </w:p>
        </w:tc>
      </w:tr>
      <w:tr w:rsidR="002D154E" w:rsidRPr="00A07125" w:rsidTr="00847938">
        <w:trPr>
          <w:trHeight w:hRule="exact" w:val="26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DECD/CHFA</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$21 million (one</w:t>
            </w:r>
            <w:r w:rsidRPr="00A07125">
              <w:rPr>
                <w:rFonts w:ascii="Perpetua" w:hAnsi="Perpetua"/>
                <w:spacing w:val="-7"/>
              </w:rPr>
              <w:t xml:space="preserve"> </w:t>
            </w:r>
            <w:r w:rsidRPr="00A07125">
              <w:rPr>
                <w:rFonts w:ascii="Perpetua" w:hAnsi="Perpetua"/>
              </w:rPr>
              <w:t>time)</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NEF Tax Credit</w:t>
            </w:r>
            <w:r w:rsidRPr="00A07125">
              <w:rPr>
                <w:rFonts w:ascii="Perpetua" w:hAnsi="Perpetua"/>
                <w:spacing w:val="-4"/>
              </w:rPr>
              <w:t xml:space="preserve"> </w:t>
            </w:r>
            <w:r w:rsidRPr="00A07125">
              <w:rPr>
                <w:rFonts w:ascii="Perpetua" w:hAnsi="Perpetua"/>
              </w:rPr>
              <w:t>Equity</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$28 million (one</w:t>
            </w:r>
            <w:r w:rsidRPr="00A07125">
              <w:rPr>
                <w:rFonts w:ascii="Perpetua" w:hAnsi="Perpetua"/>
                <w:spacing w:val="-7"/>
              </w:rPr>
              <w:t xml:space="preserve"> </w:t>
            </w:r>
            <w:r w:rsidRPr="00A07125">
              <w:rPr>
                <w:rFonts w:ascii="Perpetua" w:hAnsi="Perpetua"/>
              </w:rPr>
              <w:t>time)</w:t>
            </w:r>
          </w:p>
        </w:tc>
      </w:tr>
      <w:tr w:rsidR="002D154E" w:rsidRPr="00A07125" w:rsidTr="00847938">
        <w:trPr>
          <w:trHeight w:hRule="exact" w:val="51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Operating</w:t>
            </w:r>
            <w:r w:rsidRPr="00A07125">
              <w:rPr>
                <w:rFonts w:ascii="Perpetua" w:hAnsi="Perpetua"/>
                <w:spacing w:val="-4"/>
              </w:rPr>
              <w:t xml:space="preserve"> </w:t>
            </w:r>
            <w:r w:rsidRPr="00A07125">
              <w:rPr>
                <w:rFonts w:ascii="Perpetua" w:hAnsi="Perpetua"/>
              </w:rPr>
              <w:t>Subsidies</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DMHAS/HUD</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ight="204"/>
              <w:rPr>
                <w:rFonts w:ascii="Perpetua" w:eastAsia="Perpetua" w:hAnsi="Perpetua" w:cs="Perpetua"/>
              </w:rPr>
            </w:pPr>
            <w:r w:rsidRPr="00A07125">
              <w:rPr>
                <w:rFonts w:ascii="Perpetua" w:hAnsi="Perpetua"/>
              </w:rPr>
              <w:t>Shelter + Care for half the units and Operating</w:t>
            </w:r>
            <w:r w:rsidRPr="00A07125">
              <w:rPr>
                <w:rFonts w:ascii="Perpetua" w:hAnsi="Perpetua"/>
                <w:spacing w:val="-3"/>
              </w:rPr>
              <w:t xml:space="preserve"> </w:t>
            </w:r>
            <w:r w:rsidRPr="00A07125">
              <w:rPr>
                <w:rFonts w:ascii="Perpetua" w:hAnsi="Perpetua"/>
              </w:rPr>
              <w:t>reserves</w:t>
            </w:r>
          </w:p>
        </w:tc>
      </w:tr>
      <w:tr w:rsidR="002D154E" w:rsidRPr="00A07125" w:rsidTr="00847938">
        <w:trPr>
          <w:trHeight w:hRule="exact" w:val="26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Services</w:t>
            </w:r>
            <w:r w:rsidRPr="00A07125">
              <w:rPr>
                <w:rFonts w:ascii="Perpetua" w:hAnsi="Perpetua"/>
                <w:spacing w:val="-6"/>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DMHAS/DSS</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$1.5 million</w:t>
            </w:r>
            <w:r w:rsidRPr="00A07125">
              <w:rPr>
                <w:rFonts w:ascii="Perpetua" w:hAnsi="Perpetua"/>
                <w:spacing w:val="-6"/>
              </w:rPr>
              <w:t xml:space="preserve"> </w:t>
            </w:r>
            <w:r w:rsidRPr="00A07125">
              <w:rPr>
                <w:rFonts w:ascii="Perpetua" w:hAnsi="Perpetua"/>
              </w:rPr>
              <w:t>(annual)</w:t>
            </w:r>
          </w:p>
        </w:tc>
      </w:tr>
    </w:tbl>
    <w:p w:rsidR="005B0969" w:rsidRDefault="005B0969" w:rsidP="002D154E">
      <w:pPr>
        <w:pStyle w:val="Heading4"/>
        <w:spacing w:before="77"/>
        <w:ind w:left="220" w:right="253"/>
        <w:rPr>
          <w:u w:val="single" w:color="000000"/>
        </w:rPr>
      </w:pPr>
    </w:p>
    <w:p w:rsidR="005B0969" w:rsidRDefault="005B0969" w:rsidP="002D154E">
      <w:pPr>
        <w:pStyle w:val="Heading4"/>
        <w:spacing w:before="77"/>
        <w:ind w:left="220" w:right="253"/>
        <w:rPr>
          <w:u w:val="single" w:color="000000"/>
        </w:rPr>
      </w:pPr>
    </w:p>
    <w:p w:rsidR="005B0969" w:rsidRDefault="005B0969" w:rsidP="002D154E">
      <w:pPr>
        <w:pStyle w:val="Heading4"/>
        <w:spacing w:before="77"/>
        <w:ind w:left="220" w:right="253"/>
        <w:rPr>
          <w:u w:val="single" w:color="000000"/>
        </w:rPr>
      </w:pPr>
    </w:p>
    <w:p w:rsidR="005B0969" w:rsidRDefault="005B0969" w:rsidP="002D154E">
      <w:pPr>
        <w:pStyle w:val="Heading4"/>
        <w:spacing w:before="77"/>
        <w:ind w:left="220" w:right="253"/>
        <w:rPr>
          <w:u w:val="single" w:color="000000"/>
        </w:rPr>
      </w:pPr>
    </w:p>
    <w:p w:rsidR="005B0969" w:rsidRDefault="005B0969" w:rsidP="002D154E">
      <w:pPr>
        <w:pStyle w:val="Heading4"/>
        <w:spacing w:before="77"/>
        <w:ind w:left="220" w:right="253"/>
        <w:rPr>
          <w:u w:val="single" w:color="000000"/>
        </w:rPr>
      </w:pPr>
    </w:p>
    <w:p w:rsidR="002D154E" w:rsidRPr="00A07125" w:rsidRDefault="002D154E" w:rsidP="002D154E">
      <w:pPr>
        <w:pStyle w:val="Heading4"/>
        <w:spacing w:before="77"/>
        <w:ind w:left="220" w:right="253"/>
        <w:rPr>
          <w:b w:val="0"/>
          <w:bCs w:val="0"/>
        </w:rPr>
      </w:pPr>
      <w:r w:rsidRPr="00A07125">
        <w:rPr>
          <w:u w:val="single" w:color="000000"/>
        </w:rPr>
        <w:t>P</w:t>
      </w:r>
      <w:r>
        <w:rPr>
          <w:u w:val="single" w:color="000000"/>
        </w:rPr>
        <w:t>ILOTS</w:t>
      </w:r>
      <w:r w:rsidRPr="00A07125">
        <w:rPr>
          <w:u w:val="single" w:color="000000"/>
        </w:rPr>
        <w:t xml:space="preserve"> Program</w:t>
      </w:r>
      <w:r w:rsidRPr="00A07125">
        <w:rPr>
          <w:spacing w:val="-5"/>
          <w:u w:val="single" w:color="000000"/>
        </w:rPr>
        <w:t xml:space="preserve"> </w:t>
      </w:r>
      <w:r w:rsidRPr="00A07125">
        <w:rPr>
          <w:u w:val="single" w:color="000000"/>
        </w:rPr>
        <w:t>(2001-2010)</w:t>
      </w:r>
    </w:p>
    <w:p w:rsidR="002D154E" w:rsidRPr="00A07125" w:rsidRDefault="002D154E" w:rsidP="002D154E">
      <w:pPr>
        <w:spacing w:before="36" w:after="3"/>
        <w:ind w:left="220" w:right="7190"/>
        <w:rPr>
          <w:rFonts w:ascii="Perpetua" w:eastAsia="Perpetua" w:hAnsi="Perpetua" w:cs="Perpetua"/>
        </w:rPr>
      </w:pPr>
      <w:r w:rsidRPr="00A07125">
        <w:rPr>
          <w:rFonts w:ascii="Perpetua" w:eastAsia="Perpetua" w:hAnsi="Perpetua" w:cs="Perpetua"/>
        </w:rPr>
        <w:t>Developed Units - 260 Scattered Site Units - 402 Total Units -</w:t>
      </w:r>
      <w:r w:rsidRPr="00A07125">
        <w:rPr>
          <w:rFonts w:ascii="Perpetua" w:eastAsia="Perpetua" w:hAnsi="Perpetua" w:cs="Perpetua"/>
          <w:spacing w:val="-3"/>
        </w:rPr>
        <w:t xml:space="preserve"> </w:t>
      </w:r>
      <w:r w:rsidRPr="00A07125">
        <w:rPr>
          <w:rFonts w:ascii="Perpetua" w:eastAsia="Perpetua" w:hAnsi="Perpetua" w:cs="Perpetua"/>
        </w:rPr>
        <w:t>662</w:t>
      </w:r>
    </w:p>
    <w:tbl>
      <w:tblPr>
        <w:tblW w:w="0" w:type="auto"/>
        <w:tblInd w:w="107" w:type="dxa"/>
        <w:tblLayout w:type="fixed"/>
        <w:tblCellMar>
          <w:left w:w="0" w:type="dxa"/>
          <w:right w:w="0" w:type="dxa"/>
        </w:tblCellMar>
        <w:tblLook w:val="01E0" w:firstRow="1" w:lastRow="1" w:firstColumn="1" w:lastColumn="1" w:noHBand="0" w:noVBand="0"/>
      </w:tblPr>
      <w:tblGrid>
        <w:gridCol w:w="3193"/>
        <w:gridCol w:w="3192"/>
        <w:gridCol w:w="3193"/>
      </w:tblGrid>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b/>
              </w:rPr>
              <w:t>Funding</w:t>
            </w:r>
            <w:r w:rsidRPr="00A07125">
              <w:rPr>
                <w:rFonts w:ascii="Perpetua" w:hAnsi="Perpetua"/>
                <w:b/>
                <w:spacing w:val="-2"/>
              </w:rPr>
              <w:t xml:space="preserve"> </w:t>
            </w:r>
            <w:r w:rsidRPr="00A07125">
              <w:rPr>
                <w:rFonts w:ascii="Perpetua" w:hAnsi="Perpetua"/>
                <w:b/>
              </w:rPr>
              <w:t>Type</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b/>
              </w:rPr>
              <w:t>Source</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b/>
              </w:rPr>
              <w:t>Amount (one</w:t>
            </w:r>
            <w:r w:rsidRPr="00A07125">
              <w:rPr>
                <w:rFonts w:ascii="Perpetua" w:hAnsi="Perpetua"/>
                <w:b/>
                <w:spacing w:val="-9"/>
              </w:rPr>
              <w:t xml:space="preserve"> </w:t>
            </w:r>
            <w:r w:rsidRPr="00A07125">
              <w:rPr>
                <w:rFonts w:ascii="Perpetua" w:hAnsi="Perpetua"/>
                <w:b/>
              </w:rPr>
              <w:t>time/annual)</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Predevelopment</w:t>
            </w:r>
            <w:r w:rsidRPr="00A07125">
              <w:rPr>
                <w:rFonts w:ascii="Perpetua" w:hAnsi="Perpetua"/>
                <w:spacing w:val="-5"/>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CSH</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$3.5 million (one</w:t>
            </w:r>
            <w:r w:rsidRPr="00A07125">
              <w:rPr>
                <w:rFonts w:ascii="Perpetua" w:hAnsi="Perpetua"/>
                <w:spacing w:val="-4"/>
              </w:rPr>
              <w:t xml:space="preserve"> </w:t>
            </w:r>
            <w:r w:rsidRPr="00A07125">
              <w:rPr>
                <w:rFonts w:ascii="Perpetua" w:hAnsi="Perpetua"/>
              </w:rPr>
              <w:t>time)</w:t>
            </w:r>
          </w:p>
        </w:tc>
      </w:tr>
      <w:tr w:rsidR="002D154E" w:rsidRPr="00A07125" w:rsidTr="00847938">
        <w:trPr>
          <w:trHeight w:hRule="exact" w:val="26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DECD/CHFA/DMHAS</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$30 million (one</w:t>
            </w:r>
            <w:r w:rsidRPr="00A07125">
              <w:rPr>
                <w:rFonts w:ascii="Perpetua" w:hAnsi="Perpetua"/>
                <w:spacing w:val="-7"/>
              </w:rPr>
              <w:t xml:space="preserve"> </w:t>
            </w:r>
            <w:r w:rsidRPr="00A07125">
              <w:rPr>
                <w:rFonts w:ascii="Perpetua" w:hAnsi="Perpetua"/>
              </w:rPr>
              <w:t>time)</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Tax Credit</w:t>
            </w:r>
            <w:r w:rsidRPr="00A07125">
              <w:rPr>
                <w:rFonts w:ascii="Perpetua" w:hAnsi="Perpetua"/>
                <w:spacing w:val="-2"/>
              </w:rPr>
              <w:t xml:space="preserve"> </w:t>
            </w:r>
            <w:r w:rsidRPr="00A07125">
              <w:rPr>
                <w:rFonts w:ascii="Perpetua" w:hAnsi="Perpetua"/>
              </w:rPr>
              <w:t>Equity</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$25 million (one</w:t>
            </w:r>
            <w:r w:rsidRPr="00A07125">
              <w:rPr>
                <w:rFonts w:ascii="Perpetua" w:hAnsi="Perpetua"/>
                <w:spacing w:val="-7"/>
              </w:rPr>
              <w:t xml:space="preserve"> </w:t>
            </w:r>
            <w:r w:rsidRPr="00A07125">
              <w:rPr>
                <w:rFonts w:ascii="Perpetua" w:hAnsi="Perpetua"/>
              </w:rPr>
              <w:t>time)</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Operating</w:t>
            </w:r>
            <w:r w:rsidRPr="00A07125">
              <w:rPr>
                <w:rFonts w:ascii="Perpetua" w:hAnsi="Perpetua"/>
                <w:spacing w:val="-4"/>
              </w:rPr>
              <w:t xml:space="preserve"> </w:t>
            </w:r>
            <w:r w:rsidRPr="00A07125">
              <w:rPr>
                <w:rFonts w:ascii="Perpetua" w:hAnsi="Perpetua"/>
              </w:rPr>
              <w:t>Subsidies</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DSS (initially Section 8 and</w:t>
            </w:r>
            <w:r w:rsidRPr="00A07125">
              <w:rPr>
                <w:rFonts w:ascii="Perpetua" w:hAnsi="Perpetua"/>
                <w:spacing w:val="-9"/>
              </w:rPr>
              <w:t xml:space="preserve"> </w:t>
            </w:r>
            <w:r w:rsidRPr="00A07125">
              <w:rPr>
                <w:rFonts w:ascii="Perpetua" w:hAnsi="Perpetua"/>
              </w:rPr>
              <w:t>RAP)</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$2 million</w:t>
            </w:r>
            <w:r w:rsidRPr="00A07125">
              <w:rPr>
                <w:rFonts w:ascii="Perpetua" w:hAnsi="Perpetua"/>
                <w:spacing w:val="-5"/>
              </w:rPr>
              <w:t xml:space="preserve"> </w:t>
            </w:r>
            <w:r w:rsidRPr="00A07125">
              <w:rPr>
                <w:rFonts w:ascii="Perpetua" w:hAnsi="Perpetua"/>
              </w:rPr>
              <w:t>(annual)</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Services</w:t>
            </w:r>
            <w:r w:rsidRPr="00A07125">
              <w:rPr>
                <w:rFonts w:ascii="Perpetua" w:hAnsi="Perpetua"/>
                <w:spacing w:val="-3"/>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DMHAS/DSS</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$8 million</w:t>
            </w:r>
            <w:r w:rsidRPr="00A07125">
              <w:rPr>
                <w:rFonts w:ascii="Perpetua" w:hAnsi="Perpetua"/>
                <w:spacing w:val="-5"/>
              </w:rPr>
              <w:t xml:space="preserve"> </w:t>
            </w:r>
            <w:r w:rsidRPr="00A07125">
              <w:rPr>
                <w:rFonts w:ascii="Perpetua" w:hAnsi="Perpetua"/>
              </w:rPr>
              <w:t>(annual)</w:t>
            </w:r>
          </w:p>
        </w:tc>
      </w:tr>
    </w:tbl>
    <w:p w:rsidR="002D154E" w:rsidRPr="00A07125" w:rsidRDefault="002D154E" w:rsidP="002D154E">
      <w:pPr>
        <w:spacing w:before="4"/>
        <w:rPr>
          <w:rFonts w:ascii="Perpetua" w:eastAsia="Perpetua" w:hAnsi="Perpetua" w:cs="Perpetua"/>
        </w:rPr>
      </w:pPr>
    </w:p>
    <w:p w:rsidR="002D154E" w:rsidRPr="00A07125" w:rsidRDefault="002D154E" w:rsidP="002D154E">
      <w:pPr>
        <w:spacing w:before="77"/>
        <w:ind w:left="220" w:right="7480"/>
        <w:rPr>
          <w:rFonts w:ascii="Perpetua" w:eastAsia="Perpetua" w:hAnsi="Perpetua" w:cs="Perpetua"/>
        </w:rPr>
      </w:pPr>
      <w:r w:rsidRPr="00A07125">
        <w:rPr>
          <w:rFonts w:ascii="Perpetua" w:eastAsia="Perpetua" w:hAnsi="Perpetua" w:cs="Perpetua"/>
          <w:b/>
          <w:bCs/>
          <w:u w:val="single" w:color="000000"/>
        </w:rPr>
        <w:t xml:space="preserve">Next Steps (2006-2013) </w:t>
      </w:r>
      <w:r w:rsidRPr="00A07125">
        <w:rPr>
          <w:rFonts w:ascii="Perpetua" w:eastAsia="Perpetua" w:hAnsi="Perpetua" w:cs="Perpetua"/>
        </w:rPr>
        <w:t>Developed Units - 369 Scattered Site Units - 400 Total Units</w:t>
      </w:r>
      <w:r w:rsidRPr="00A07125">
        <w:rPr>
          <w:rFonts w:ascii="Perpetua" w:eastAsia="Perpetua" w:hAnsi="Perpetua" w:cs="Perpetua"/>
          <w:spacing w:val="-2"/>
        </w:rPr>
        <w:t xml:space="preserve"> </w:t>
      </w:r>
      <w:r w:rsidRPr="00A07125">
        <w:rPr>
          <w:rFonts w:ascii="Perpetua" w:eastAsia="Perpetua" w:hAnsi="Perpetua" w:cs="Perpetua"/>
        </w:rPr>
        <w:t>-769</w:t>
      </w:r>
    </w:p>
    <w:tbl>
      <w:tblPr>
        <w:tblW w:w="0" w:type="auto"/>
        <w:tblInd w:w="107" w:type="dxa"/>
        <w:tblLayout w:type="fixed"/>
        <w:tblCellMar>
          <w:left w:w="0" w:type="dxa"/>
          <w:right w:w="0" w:type="dxa"/>
        </w:tblCellMar>
        <w:tblLook w:val="01E0" w:firstRow="1" w:lastRow="1" w:firstColumn="1" w:lastColumn="1" w:noHBand="0" w:noVBand="0"/>
      </w:tblPr>
      <w:tblGrid>
        <w:gridCol w:w="3193"/>
        <w:gridCol w:w="3192"/>
        <w:gridCol w:w="3193"/>
      </w:tblGrid>
      <w:tr w:rsidR="002D154E" w:rsidRPr="00A07125" w:rsidTr="00847938">
        <w:trPr>
          <w:trHeight w:hRule="exact" w:val="26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b/>
              </w:rPr>
              <w:t>Funding</w:t>
            </w:r>
            <w:r w:rsidRPr="00A07125">
              <w:rPr>
                <w:rFonts w:ascii="Perpetua" w:hAnsi="Perpetua"/>
                <w:b/>
                <w:spacing w:val="-2"/>
              </w:rPr>
              <w:t xml:space="preserve"> </w:t>
            </w:r>
            <w:r w:rsidRPr="00A07125">
              <w:rPr>
                <w:rFonts w:ascii="Perpetua" w:hAnsi="Perpetua"/>
                <w:b/>
              </w:rPr>
              <w:t>Type</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b/>
              </w:rPr>
              <w:t>Source</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b/>
              </w:rPr>
              <w:t>Amount (one</w:t>
            </w:r>
            <w:r w:rsidRPr="00A07125">
              <w:rPr>
                <w:rFonts w:ascii="Perpetua" w:hAnsi="Perpetua"/>
                <w:b/>
                <w:spacing w:val="-9"/>
              </w:rPr>
              <w:t xml:space="preserve"> </w:t>
            </w:r>
            <w:r w:rsidRPr="00A07125">
              <w:rPr>
                <w:rFonts w:ascii="Perpetua" w:hAnsi="Perpetua"/>
                <w:b/>
              </w:rPr>
              <w:t>time/annual)</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Predevelopment</w:t>
            </w:r>
            <w:r w:rsidRPr="00A07125">
              <w:rPr>
                <w:rFonts w:ascii="Perpetua" w:hAnsi="Perpetua"/>
                <w:spacing w:val="-5"/>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CSH</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$3.5 million (one</w:t>
            </w:r>
            <w:r w:rsidRPr="00A07125">
              <w:rPr>
                <w:rFonts w:ascii="Perpetua" w:hAnsi="Perpetua"/>
                <w:spacing w:val="-4"/>
              </w:rPr>
              <w:t xml:space="preserve"> </w:t>
            </w:r>
            <w:r w:rsidRPr="00A07125">
              <w:rPr>
                <w:rFonts w:ascii="Perpetua" w:hAnsi="Perpetua"/>
              </w:rPr>
              <w:t>time)</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OPM</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$5 million annually debt</w:t>
            </w:r>
            <w:r w:rsidRPr="00A07125">
              <w:rPr>
                <w:rFonts w:ascii="Perpetua" w:hAnsi="Perpetua"/>
                <w:spacing w:val="-10"/>
              </w:rPr>
              <w:t xml:space="preserve"> </w:t>
            </w:r>
            <w:r w:rsidRPr="00A07125">
              <w:rPr>
                <w:rFonts w:ascii="Perpetua" w:hAnsi="Perpetua"/>
              </w:rPr>
              <w:t>service</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CHFA</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$94 million 501(c)(3)</w:t>
            </w:r>
            <w:r w:rsidRPr="00A07125">
              <w:rPr>
                <w:rFonts w:ascii="Perpetua" w:hAnsi="Perpetua"/>
                <w:spacing w:val="-7"/>
              </w:rPr>
              <w:t xml:space="preserve"> </w:t>
            </w:r>
            <w:r w:rsidRPr="00A07125">
              <w:rPr>
                <w:rFonts w:ascii="Perpetua" w:hAnsi="Perpetua"/>
              </w:rPr>
              <w:t>Bonds</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DECD</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$3 million (one</w:t>
            </w:r>
            <w:r w:rsidRPr="00A07125">
              <w:rPr>
                <w:rFonts w:ascii="Perpetua" w:hAnsi="Perpetua"/>
                <w:spacing w:val="-5"/>
              </w:rPr>
              <w:t xml:space="preserve"> </w:t>
            </w:r>
            <w:r w:rsidRPr="00A07125">
              <w:rPr>
                <w:rFonts w:ascii="Perpetua" w:hAnsi="Perpetua"/>
              </w:rPr>
              <w:t>time)</w:t>
            </w:r>
          </w:p>
        </w:tc>
      </w:tr>
      <w:tr w:rsidR="002D154E" w:rsidRPr="00A07125" w:rsidTr="00847938">
        <w:trPr>
          <w:trHeight w:hRule="exact" w:val="26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HTCC</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$6.5 million (one</w:t>
            </w:r>
            <w:r w:rsidRPr="00A07125">
              <w:rPr>
                <w:rFonts w:ascii="Perpetua" w:hAnsi="Perpetua"/>
                <w:spacing w:val="-4"/>
              </w:rPr>
              <w:t xml:space="preserve"> </w:t>
            </w:r>
            <w:r w:rsidRPr="00A07125">
              <w:rPr>
                <w:rFonts w:ascii="Perpetua" w:hAnsi="Perpetua"/>
              </w:rPr>
              <w:t>time)</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Operating</w:t>
            </w:r>
            <w:r w:rsidRPr="00A07125">
              <w:rPr>
                <w:rFonts w:ascii="Perpetua" w:hAnsi="Perpetua"/>
                <w:spacing w:val="-4"/>
              </w:rPr>
              <w:t xml:space="preserve"> </w:t>
            </w:r>
            <w:r w:rsidRPr="00A07125">
              <w:rPr>
                <w:rFonts w:ascii="Perpetua" w:hAnsi="Perpetua"/>
              </w:rPr>
              <w:t>Subsidies</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DSS (project based rental</w:t>
            </w:r>
            <w:r w:rsidRPr="00A07125">
              <w:rPr>
                <w:rFonts w:ascii="Perpetua" w:hAnsi="Perpetua"/>
                <w:spacing w:val="-10"/>
              </w:rPr>
              <w:t xml:space="preserve"> </w:t>
            </w:r>
            <w:r w:rsidRPr="00A07125">
              <w:rPr>
                <w:rFonts w:ascii="Perpetua" w:hAnsi="Perpetua"/>
              </w:rPr>
              <w:t>assistance)</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$3.2 million</w:t>
            </w:r>
            <w:r w:rsidRPr="00A07125">
              <w:rPr>
                <w:rFonts w:ascii="Perpetua" w:hAnsi="Perpetua"/>
                <w:spacing w:val="-6"/>
              </w:rPr>
              <w:t xml:space="preserve"> </w:t>
            </w:r>
            <w:r w:rsidRPr="00A07125">
              <w:rPr>
                <w:rFonts w:ascii="Perpetua" w:hAnsi="Perpetua"/>
              </w:rPr>
              <w:t>(annual)</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Operating</w:t>
            </w:r>
            <w:r w:rsidRPr="00A07125">
              <w:rPr>
                <w:rFonts w:ascii="Perpetua" w:hAnsi="Perpetua"/>
                <w:spacing w:val="-4"/>
              </w:rPr>
              <w:t xml:space="preserve"> </w:t>
            </w:r>
            <w:r w:rsidRPr="00A07125">
              <w:rPr>
                <w:rFonts w:ascii="Perpetua" w:hAnsi="Perpetua"/>
              </w:rPr>
              <w:t>Subsidies</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VA</w:t>
            </w:r>
            <w:r w:rsidRPr="00A07125">
              <w:rPr>
                <w:rFonts w:ascii="Perpetua" w:hAnsi="Perpetua"/>
                <w:spacing w:val="-2"/>
              </w:rPr>
              <w:t xml:space="preserve"> </w:t>
            </w:r>
            <w:r w:rsidRPr="00A07125">
              <w:rPr>
                <w:rFonts w:ascii="Perpetua" w:hAnsi="Perpetua"/>
              </w:rPr>
              <w:t>(VASH)</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VASH Vouchers (2</w:t>
            </w:r>
            <w:r w:rsidRPr="00A07125">
              <w:rPr>
                <w:rFonts w:ascii="Perpetua" w:hAnsi="Perpetua"/>
                <w:spacing w:val="-7"/>
              </w:rPr>
              <w:t xml:space="preserve"> </w:t>
            </w:r>
            <w:r w:rsidRPr="00A07125">
              <w:rPr>
                <w:rFonts w:ascii="Perpetua" w:hAnsi="Perpetua"/>
              </w:rPr>
              <w:t>projects)</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Services</w:t>
            </w:r>
            <w:r w:rsidRPr="00A07125">
              <w:rPr>
                <w:rFonts w:ascii="Perpetua" w:hAnsi="Perpetua"/>
                <w:spacing w:val="-3"/>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DMHAS</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$5 million</w:t>
            </w:r>
            <w:r w:rsidRPr="00A07125">
              <w:rPr>
                <w:rFonts w:ascii="Perpetua" w:hAnsi="Perpetua"/>
                <w:spacing w:val="-5"/>
              </w:rPr>
              <w:t xml:space="preserve"> </w:t>
            </w:r>
            <w:r w:rsidRPr="00A07125">
              <w:rPr>
                <w:rFonts w:ascii="Perpetua" w:hAnsi="Perpetua"/>
              </w:rPr>
              <w:t>(annual)</w:t>
            </w:r>
          </w:p>
        </w:tc>
      </w:tr>
      <w:tr w:rsidR="002D154E" w:rsidRPr="00A07125" w:rsidTr="00847938">
        <w:trPr>
          <w:trHeight w:hRule="exact" w:val="264"/>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Services</w:t>
            </w:r>
            <w:r w:rsidRPr="00A07125">
              <w:rPr>
                <w:rFonts w:ascii="Perpetua" w:hAnsi="Perpetua"/>
                <w:spacing w:val="-8"/>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DSS</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before="2"/>
              <w:ind w:left="103"/>
              <w:rPr>
                <w:rFonts w:ascii="Perpetua" w:eastAsia="Perpetua" w:hAnsi="Perpetua" w:cs="Perpetua"/>
              </w:rPr>
            </w:pPr>
            <w:r w:rsidRPr="00A07125">
              <w:rPr>
                <w:rFonts w:ascii="Perpetua" w:hAnsi="Perpetua"/>
              </w:rPr>
              <w:t>$1.325million</w:t>
            </w:r>
            <w:r w:rsidRPr="00A07125">
              <w:rPr>
                <w:rFonts w:ascii="Perpetua" w:hAnsi="Perpetua"/>
                <w:spacing w:val="-3"/>
              </w:rPr>
              <w:t xml:space="preserve"> </w:t>
            </w:r>
            <w:r w:rsidRPr="00A07125">
              <w:rPr>
                <w:rFonts w:ascii="Perpetua" w:hAnsi="Perpetua"/>
              </w:rPr>
              <w:t>(annual)</w:t>
            </w:r>
          </w:p>
        </w:tc>
      </w:tr>
      <w:tr w:rsidR="002D154E" w:rsidRPr="00A07125" w:rsidTr="00847938">
        <w:trPr>
          <w:trHeight w:hRule="exact" w:val="262"/>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Services</w:t>
            </w:r>
            <w:r w:rsidRPr="00A07125">
              <w:rPr>
                <w:rFonts w:ascii="Perpetua" w:hAnsi="Perpetua"/>
                <w:spacing w:val="-3"/>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VA</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52" w:lineRule="exact"/>
              <w:ind w:left="103"/>
              <w:rPr>
                <w:rFonts w:ascii="Perpetua" w:eastAsia="Perpetua" w:hAnsi="Perpetua" w:cs="Perpetua"/>
              </w:rPr>
            </w:pPr>
            <w:r w:rsidRPr="00A07125">
              <w:rPr>
                <w:rFonts w:ascii="Perpetua" w:hAnsi="Perpetua"/>
              </w:rPr>
              <w:t>VASH Vouchers (2</w:t>
            </w:r>
            <w:r w:rsidRPr="00A07125">
              <w:rPr>
                <w:rFonts w:ascii="Perpetua" w:hAnsi="Perpetua"/>
                <w:spacing w:val="-7"/>
              </w:rPr>
              <w:t xml:space="preserve"> </w:t>
            </w:r>
            <w:r w:rsidRPr="00A07125">
              <w:rPr>
                <w:rFonts w:ascii="Perpetua" w:hAnsi="Perpetua"/>
              </w:rPr>
              <w:t>projects)</w:t>
            </w:r>
          </w:p>
        </w:tc>
      </w:tr>
    </w:tbl>
    <w:p w:rsidR="002D154E" w:rsidRPr="00A07125" w:rsidRDefault="002D154E" w:rsidP="002D154E">
      <w:pPr>
        <w:spacing w:before="4"/>
        <w:rPr>
          <w:rFonts w:ascii="Perpetua" w:eastAsia="Perpetua" w:hAnsi="Perpetua" w:cs="Perpetua"/>
        </w:rPr>
      </w:pPr>
    </w:p>
    <w:p w:rsidR="002D154E" w:rsidRPr="00A07125" w:rsidRDefault="002D154E" w:rsidP="002D154E">
      <w:pPr>
        <w:pStyle w:val="Heading3"/>
        <w:spacing w:before="75" w:line="275" w:lineRule="exact"/>
        <w:ind w:left="220" w:right="253"/>
        <w:rPr>
          <w:rFonts w:cs="Perpetua"/>
          <w:b w:val="0"/>
          <w:bCs w:val="0"/>
          <w:sz w:val="22"/>
          <w:szCs w:val="22"/>
        </w:rPr>
      </w:pPr>
      <w:r w:rsidRPr="00A07125">
        <w:rPr>
          <w:sz w:val="22"/>
          <w:szCs w:val="22"/>
          <w:u w:val="single" w:color="000000"/>
        </w:rPr>
        <w:t>2011 &amp; 2013 Permanent Supportive Housing Initiatives</w:t>
      </w:r>
      <w:r w:rsidRPr="00A07125">
        <w:rPr>
          <w:spacing w:val="-10"/>
          <w:sz w:val="22"/>
          <w:szCs w:val="22"/>
          <w:u w:val="single" w:color="000000"/>
        </w:rPr>
        <w:t xml:space="preserve"> </w:t>
      </w:r>
      <w:r w:rsidRPr="00A07125">
        <w:rPr>
          <w:sz w:val="22"/>
          <w:szCs w:val="22"/>
          <w:u w:val="single" w:color="000000"/>
        </w:rPr>
        <w:t>(PSHI)</w:t>
      </w:r>
    </w:p>
    <w:p w:rsidR="005B0969" w:rsidRDefault="002D154E" w:rsidP="002D154E">
      <w:pPr>
        <w:spacing w:after="3"/>
        <w:ind w:left="220" w:right="6854"/>
        <w:rPr>
          <w:rFonts w:ascii="Perpetua" w:eastAsia="Perpetua" w:hAnsi="Perpetua" w:cs="Perpetua"/>
        </w:rPr>
      </w:pPr>
      <w:r w:rsidRPr="00A07125">
        <w:rPr>
          <w:rFonts w:ascii="Perpetua" w:eastAsia="Perpetua" w:hAnsi="Perpetua" w:cs="Perpetua"/>
        </w:rPr>
        <w:t xml:space="preserve">Developed Units </w:t>
      </w:r>
      <w:r w:rsidR="005B0969">
        <w:rPr>
          <w:rFonts w:ascii="Perpetua" w:eastAsia="Perpetua" w:hAnsi="Perpetua" w:cs="Perpetua"/>
        </w:rPr>
        <w:t>–</w:t>
      </w:r>
      <w:r w:rsidRPr="00A07125">
        <w:rPr>
          <w:rFonts w:ascii="Perpetua" w:eastAsia="Perpetua" w:hAnsi="Perpetua" w:cs="Perpetua"/>
        </w:rPr>
        <w:t xml:space="preserve"> 298</w:t>
      </w:r>
    </w:p>
    <w:p w:rsidR="002D154E" w:rsidRDefault="002D154E" w:rsidP="002D154E">
      <w:pPr>
        <w:spacing w:after="3"/>
        <w:ind w:left="220" w:right="6854"/>
        <w:rPr>
          <w:rFonts w:ascii="Perpetua" w:eastAsia="Perpetua" w:hAnsi="Perpetua" w:cs="Perpetua"/>
        </w:rPr>
      </w:pPr>
      <w:r w:rsidRPr="00A07125">
        <w:rPr>
          <w:rFonts w:ascii="Perpetua" w:eastAsia="Perpetua" w:hAnsi="Perpetua" w:cs="Perpetua"/>
        </w:rPr>
        <w:t xml:space="preserve"> Scattered Site Units - 150 (+-) </w:t>
      </w:r>
    </w:p>
    <w:p w:rsidR="002D154E" w:rsidRPr="00A07125" w:rsidRDefault="002D154E" w:rsidP="002D154E">
      <w:pPr>
        <w:spacing w:after="3"/>
        <w:ind w:left="220" w:right="6854"/>
        <w:rPr>
          <w:rFonts w:ascii="Perpetua" w:eastAsia="Perpetua" w:hAnsi="Perpetua" w:cs="Perpetua"/>
        </w:rPr>
      </w:pPr>
      <w:r w:rsidRPr="00A07125">
        <w:rPr>
          <w:rFonts w:ascii="Perpetua" w:eastAsia="Perpetua" w:hAnsi="Perpetua" w:cs="Perpetua"/>
        </w:rPr>
        <w:t>Total units - 448</w:t>
      </w:r>
    </w:p>
    <w:tbl>
      <w:tblPr>
        <w:tblW w:w="0" w:type="auto"/>
        <w:tblInd w:w="107" w:type="dxa"/>
        <w:tblLayout w:type="fixed"/>
        <w:tblCellMar>
          <w:left w:w="0" w:type="dxa"/>
          <w:right w:w="0" w:type="dxa"/>
        </w:tblCellMar>
        <w:tblLook w:val="01E0" w:firstRow="1" w:lastRow="1" w:firstColumn="1" w:lastColumn="1" w:noHBand="0" w:noVBand="0"/>
      </w:tblPr>
      <w:tblGrid>
        <w:gridCol w:w="3193"/>
        <w:gridCol w:w="3192"/>
        <w:gridCol w:w="3193"/>
      </w:tblGrid>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b/>
              </w:rPr>
              <w:t>Funding</w:t>
            </w:r>
            <w:r w:rsidRPr="00A07125">
              <w:rPr>
                <w:rFonts w:ascii="Perpetua" w:hAnsi="Perpetua"/>
                <w:b/>
                <w:spacing w:val="-5"/>
              </w:rPr>
              <w:t xml:space="preserve"> </w:t>
            </w:r>
            <w:r w:rsidRPr="00A07125">
              <w:rPr>
                <w:rFonts w:ascii="Perpetua" w:hAnsi="Perpetua"/>
                <w:b/>
              </w:rPr>
              <w:t>Type</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b/>
              </w:rPr>
              <w:t>Source</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b/>
              </w:rPr>
              <w:t>Amount (one</w:t>
            </w:r>
            <w:r w:rsidRPr="00A07125">
              <w:rPr>
                <w:rFonts w:ascii="Perpetua" w:hAnsi="Perpetua"/>
                <w:b/>
                <w:spacing w:val="-11"/>
              </w:rPr>
              <w:t xml:space="preserve"> </w:t>
            </w:r>
            <w:r w:rsidRPr="00A07125">
              <w:rPr>
                <w:rFonts w:ascii="Perpetua" w:hAnsi="Perpetua"/>
                <w:b/>
              </w:rPr>
              <w:t>time/annual)</w:t>
            </w:r>
          </w:p>
        </w:tc>
      </w:tr>
      <w:tr w:rsidR="002D154E" w:rsidRPr="00A07125" w:rsidTr="00847938">
        <w:trPr>
          <w:trHeight w:hRule="exact" w:val="283"/>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Predevelopment</w:t>
            </w:r>
            <w:r w:rsidRPr="00A07125">
              <w:rPr>
                <w:rFonts w:ascii="Perpetua" w:hAnsi="Perpetua"/>
                <w:spacing w:val="-6"/>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CSH</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$500,000 (one</w:t>
            </w:r>
            <w:r w:rsidRPr="00A07125">
              <w:rPr>
                <w:rFonts w:ascii="Perpetua" w:hAnsi="Perpetua"/>
                <w:spacing w:val="-2"/>
              </w:rPr>
              <w:t xml:space="preserve"> </w:t>
            </w:r>
            <w:r w:rsidRPr="00A07125">
              <w:rPr>
                <w:rFonts w:ascii="Perpetua" w:hAnsi="Perpetua"/>
              </w:rPr>
              <w:t>time)</w:t>
            </w:r>
          </w:p>
        </w:tc>
      </w:tr>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City</w:t>
            </w:r>
            <w:r w:rsidRPr="00A07125">
              <w:rPr>
                <w:rFonts w:ascii="Perpetua" w:hAnsi="Perpetua"/>
                <w:spacing w:val="-1"/>
              </w:rPr>
              <w:t xml:space="preserve"> </w:t>
            </w:r>
            <w:r w:rsidRPr="00A07125">
              <w:rPr>
                <w:rFonts w:ascii="Perpetua" w:hAnsi="Perpetua"/>
              </w:rPr>
              <w:t>HOME</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ind w:left="103"/>
              <w:rPr>
                <w:rFonts w:ascii="Perpetua" w:eastAsia="Perpetua" w:hAnsi="Perpetua" w:cs="Perpetua"/>
              </w:rPr>
            </w:pPr>
            <w:r w:rsidRPr="00A07125">
              <w:rPr>
                <w:rFonts w:ascii="Perpetua" w:hAnsi="Perpetua"/>
              </w:rPr>
              <w:t>$2.3 million (one</w:t>
            </w:r>
            <w:r w:rsidRPr="00A07125">
              <w:rPr>
                <w:rFonts w:ascii="Perpetua" w:hAnsi="Perpetua"/>
                <w:spacing w:val="-5"/>
              </w:rPr>
              <w:t xml:space="preserve"> </w:t>
            </w:r>
            <w:r w:rsidRPr="00A07125">
              <w:rPr>
                <w:rFonts w:ascii="Perpetua" w:hAnsi="Perpetua"/>
              </w:rPr>
              <w:t>time)</w:t>
            </w:r>
          </w:p>
        </w:tc>
      </w:tr>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HUD</w:t>
            </w:r>
            <w:r w:rsidRPr="00A07125">
              <w:rPr>
                <w:rFonts w:ascii="Perpetua" w:hAnsi="Perpetua"/>
                <w:spacing w:val="-1"/>
              </w:rPr>
              <w:t xml:space="preserve"> </w:t>
            </w:r>
            <w:r w:rsidRPr="00A07125">
              <w:rPr>
                <w:rFonts w:ascii="Perpetua" w:hAnsi="Perpetua"/>
              </w:rPr>
              <w:t>811</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$2.3 million (one</w:t>
            </w:r>
            <w:r w:rsidRPr="00A07125">
              <w:rPr>
                <w:rFonts w:ascii="Perpetua" w:hAnsi="Perpetua"/>
                <w:spacing w:val="-6"/>
              </w:rPr>
              <w:t xml:space="preserve"> </w:t>
            </w:r>
            <w:r w:rsidRPr="00A07125">
              <w:rPr>
                <w:rFonts w:ascii="Perpetua" w:hAnsi="Perpetua"/>
              </w:rPr>
              <w:t>time)</w:t>
            </w:r>
          </w:p>
        </w:tc>
      </w:tr>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DOH/CHFA</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$56.3 million (one</w:t>
            </w:r>
            <w:r w:rsidRPr="00A07125">
              <w:rPr>
                <w:rFonts w:ascii="Perpetua" w:hAnsi="Perpetua"/>
                <w:spacing w:val="-9"/>
              </w:rPr>
              <w:t xml:space="preserve"> </w:t>
            </w:r>
            <w:r w:rsidRPr="00A07125">
              <w:rPr>
                <w:rFonts w:ascii="Perpetua" w:hAnsi="Perpetua"/>
              </w:rPr>
              <w:t>time)</w:t>
            </w:r>
          </w:p>
        </w:tc>
      </w:tr>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HTCC</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$850,000 (one</w:t>
            </w:r>
            <w:r w:rsidRPr="00A07125">
              <w:rPr>
                <w:rFonts w:ascii="Perpetua" w:hAnsi="Perpetua"/>
                <w:spacing w:val="-2"/>
              </w:rPr>
              <w:t xml:space="preserve"> </w:t>
            </w:r>
            <w:r w:rsidRPr="00A07125">
              <w:rPr>
                <w:rFonts w:ascii="Perpetua" w:hAnsi="Perpetua"/>
              </w:rPr>
              <w:t>time)</w:t>
            </w:r>
          </w:p>
        </w:tc>
      </w:tr>
      <w:tr w:rsidR="002D154E" w:rsidRPr="00A07125" w:rsidTr="00847938">
        <w:trPr>
          <w:trHeight w:hRule="exact" w:val="283"/>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Capital</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Other</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$150,000 (one</w:t>
            </w:r>
            <w:r w:rsidRPr="00A07125">
              <w:rPr>
                <w:rFonts w:ascii="Perpetua" w:hAnsi="Perpetua"/>
                <w:spacing w:val="-2"/>
              </w:rPr>
              <w:t xml:space="preserve"> </w:t>
            </w:r>
            <w:r w:rsidRPr="00A07125">
              <w:rPr>
                <w:rFonts w:ascii="Perpetua" w:hAnsi="Perpetua"/>
              </w:rPr>
              <w:t>time)</w:t>
            </w:r>
          </w:p>
        </w:tc>
      </w:tr>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Operating</w:t>
            </w:r>
            <w:r w:rsidRPr="00A07125">
              <w:rPr>
                <w:rFonts w:ascii="Perpetua" w:hAnsi="Perpetua"/>
                <w:spacing w:val="-4"/>
              </w:rPr>
              <w:t xml:space="preserve"> </w:t>
            </w:r>
            <w:r w:rsidRPr="00A07125">
              <w:rPr>
                <w:rFonts w:ascii="Perpetua" w:hAnsi="Perpetua"/>
              </w:rPr>
              <w:t>Subsidies</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DOH(RAP)</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$1.48 million</w:t>
            </w:r>
            <w:r w:rsidRPr="00A07125">
              <w:rPr>
                <w:rFonts w:ascii="Perpetua" w:hAnsi="Perpetua"/>
                <w:spacing w:val="-6"/>
              </w:rPr>
              <w:t xml:space="preserve"> </w:t>
            </w:r>
            <w:r w:rsidRPr="00A07125">
              <w:rPr>
                <w:rFonts w:ascii="Perpetua" w:hAnsi="Perpetua"/>
              </w:rPr>
              <w:t>(annual)</w:t>
            </w:r>
          </w:p>
        </w:tc>
      </w:tr>
      <w:tr w:rsidR="002D154E" w:rsidRPr="00A07125" w:rsidTr="00847938">
        <w:trPr>
          <w:trHeight w:hRule="exact" w:val="286"/>
        </w:trPr>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Services</w:t>
            </w:r>
            <w:r w:rsidRPr="00A07125">
              <w:rPr>
                <w:rFonts w:ascii="Perpetua" w:hAnsi="Perpetua"/>
                <w:spacing w:val="-5"/>
              </w:rPr>
              <w:t xml:space="preserve"> </w:t>
            </w:r>
            <w:r w:rsidRPr="00A07125">
              <w:rPr>
                <w:rFonts w:ascii="Perpetua" w:hAnsi="Perpetua"/>
              </w:rPr>
              <w:t>Funding</w:t>
            </w:r>
          </w:p>
        </w:tc>
        <w:tc>
          <w:tcPr>
            <w:tcW w:w="3192"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DMHAS</w:t>
            </w:r>
          </w:p>
        </w:tc>
        <w:tc>
          <w:tcPr>
            <w:tcW w:w="3193" w:type="dxa"/>
            <w:tcBorders>
              <w:top w:val="single" w:sz="4" w:space="0" w:color="000000"/>
              <w:left w:val="single" w:sz="4" w:space="0" w:color="000000"/>
              <w:bottom w:val="single" w:sz="4" w:space="0" w:color="000000"/>
              <w:right w:val="single" w:sz="4" w:space="0" w:color="000000"/>
            </w:tcBorders>
          </w:tcPr>
          <w:p w:rsidR="002D154E" w:rsidRPr="00A07125" w:rsidRDefault="002D154E" w:rsidP="00847938">
            <w:pPr>
              <w:pStyle w:val="TableParagraph"/>
              <w:spacing w:line="273" w:lineRule="exact"/>
              <w:ind w:left="103"/>
              <w:rPr>
                <w:rFonts w:ascii="Perpetua" w:eastAsia="Perpetua" w:hAnsi="Perpetua" w:cs="Perpetua"/>
              </w:rPr>
            </w:pPr>
            <w:r w:rsidRPr="00A07125">
              <w:rPr>
                <w:rFonts w:ascii="Perpetua" w:hAnsi="Perpetua"/>
              </w:rPr>
              <w:t>$1.58 million</w:t>
            </w:r>
            <w:r w:rsidRPr="00A07125">
              <w:rPr>
                <w:rFonts w:ascii="Perpetua" w:hAnsi="Perpetua"/>
                <w:spacing w:val="-7"/>
              </w:rPr>
              <w:t xml:space="preserve"> </w:t>
            </w:r>
            <w:r w:rsidRPr="00A07125">
              <w:rPr>
                <w:rFonts w:ascii="Perpetua" w:hAnsi="Perpetua"/>
              </w:rPr>
              <w:t>(annual)</w:t>
            </w:r>
          </w:p>
        </w:tc>
      </w:tr>
    </w:tbl>
    <w:p w:rsidR="00622E95" w:rsidRDefault="00622E95" w:rsidP="002D154E">
      <w:pPr>
        <w:spacing w:line="273" w:lineRule="exact"/>
        <w:rPr>
          <w:rFonts w:eastAsia="Perpetua" w:cstheme="minorHAnsi"/>
        </w:rPr>
      </w:pPr>
    </w:p>
    <w:p w:rsidR="005B0969" w:rsidRDefault="005B0969" w:rsidP="002D154E">
      <w:pPr>
        <w:spacing w:line="273" w:lineRule="exact"/>
        <w:rPr>
          <w:rFonts w:eastAsia="Perpetua" w:cstheme="minorHAnsi"/>
        </w:rPr>
      </w:pPr>
      <w:r>
        <w:rPr>
          <w:rFonts w:eastAsia="Perpetua" w:cstheme="minorHAnsi"/>
        </w:rPr>
        <w:t xml:space="preserve">To advance a similar program in </w:t>
      </w:r>
      <w:r w:rsidR="006C080D">
        <w:rPr>
          <w:rFonts w:eastAsia="Perpetua" w:cstheme="minorHAnsi"/>
        </w:rPr>
        <w:t>Maine</w:t>
      </w:r>
      <w:r>
        <w:rPr>
          <w:rFonts w:eastAsia="Perpetua" w:cstheme="minorHAnsi"/>
        </w:rPr>
        <w:t xml:space="preserve"> it is critical to create a collaborative, accountable structure like the IACSH. For each initiative planned, a unit goal should be created. That unit goal should be matched with the requisite level of funding from each of the three categories: capital, services and operating. </w:t>
      </w:r>
      <w:r w:rsidR="006C080D">
        <w:rPr>
          <w:rFonts w:eastAsia="Perpetua" w:cstheme="minorHAnsi"/>
        </w:rPr>
        <w:t xml:space="preserve">Ten years </w:t>
      </w:r>
      <w:r w:rsidR="00622E95">
        <w:rPr>
          <w:rFonts w:eastAsia="Perpetua" w:cstheme="minorHAnsi"/>
        </w:rPr>
        <w:t>ago,</w:t>
      </w:r>
      <w:r w:rsidR="006C080D">
        <w:rPr>
          <w:rFonts w:eastAsia="Perpetua" w:cstheme="minorHAnsi"/>
        </w:rPr>
        <w:t xml:space="preserve"> </w:t>
      </w:r>
      <w:r>
        <w:rPr>
          <w:rFonts w:eastAsia="Perpetua" w:cstheme="minorHAnsi"/>
        </w:rPr>
        <w:t>in Connecticut the state estimate</w:t>
      </w:r>
      <w:r w:rsidR="006C080D">
        <w:rPr>
          <w:rFonts w:eastAsia="Perpetua" w:cstheme="minorHAnsi"/>
        </w:rPr>
        <w:t xml:space="preserve">d </w:t>
      </w:r>
      <w:r>
        <w:rPr>
          <w:rFonts w:eastAsia="Perpetua" w:cstheme="minorHAnsi"/>
        </w:rPr>
        <w:t>the costs of supportive housing using experience gained over twenty years.</w:t>
      </w:r>
    </w:p>
    <w:p w:rsidR="005B0969" w:rsidRPr="006C080D" w:rsidRDefault="005B0969" w:rsidP="002D154E">
      <w:pPr>
        <w:spacing w:line="273" w:lineRule="exact"/>
        <w:rPr>
          <w:rFonts w:eastAsia="Perpetua" w:cstheme="minorHAnsi"/>
          <w:i/>
        </w:rPr>
      </w:pPr>
      <w:r w:rsidRPr="006C080D">
        <w:rPr>
          <w:rFonts w:eastAsia="Perpetua" w:cstheme="minorHAnsi"/>
          <w:i/>
        </w:rPr>
        <w:t>Capital – Assuming a 3.5% interest rate and a per/ unit cost of $250,000, annual debt service per unit would be $13,500.</w:t>
      </w:r>
    </w:p>
    <w:p w:rsidR="005B0969" w:rsidRPr="006C080D" w:rsidRDefault="005B0969" w:rsidP="002D154E">
      <w:pPr>
        <w:spacing w:line="273" w:lineRule="exact"/>
        <w:rPr>
          <w:rFonts w:eastAsia="Perpetua" w:cstheme="minorHAnsi"/>
          <w:i/>
        </w:rPr>
      </w:pPr>
      <w:r w:rsidRPr="006C080D">
        <w:rPr>
          <w:rFonts w:eastAsia="Perpetua" w:cstheme="minorHAnsi"/>
          <w:i/>
        </w:rPr>
        <w:t xml:space="preserve">Services funding – For many years Connecticut provided $9,500 per unit to provide case management services for individuals in supportive housing. However, in recent years that number has been reduced to $7,500 for individuals.   </w:t>
      </w:r>
    </w:p>
    <w:p w:rsidR="005B0969" w:rsidRPr="006C080D" w:rsidRDefault="005B0969" w:rsidP="002D154E">
      <w:pPr>
        <w:spacing w:line="273" w:lineRule="exact"/>
        <w:rPr>
          <w:rFonts w:eastAsia="Perpetua" w:cstheme="minorHAnsi"/>
          <w:i/>
        </w:rPr>
      </w:pPr>
      <w:r w:rsidRPr="006C080D">
        <w:rPr>
          <w:rFonts w:eastAsia="Perpetua" w:cstheme="minorHAnsi"/>
          <w:i/>
        </w:rPr>
        <w:t>Operating subsidies – Connecticut estimates that an individual leaving homelessness would require $10,000 per year in rental assistance.</w:t>
      </w:r>
    </w:p>
    <w:p w:rsidR="005B0969" w:rsidRPr="006C080D" w:rsidRDefault="005B0969" w:rsidP="002D154E">
      <w:pPr>
        <w:spacing w:line="273" w:lineRule="exact"/>
        <w:rPr>
          <w:rFonts w:eastAsia="Perpetua" w:cstheme="minorHAnsi"/>
          <w:i/>
        </w:rPr>
      </w:pPr>
      <w:r w:rsidRPr="006C080D">
        <w:rPr>
          <w:rFonts w:eastAsia="Perpetua" w:cstheme="minorHAnsi"/>
          <w:i/>
        </w:rPr>
        <w:t xml:space="preserve">So, using all state resources, the cost per year would be $31,000 per unit.  </w:t>
      </w:r>
    </w:p>
    <w:p w:rsidR="005B0969" w:rsidRDefault="005B0969" w:rsidP="002D154E">
      <w:pPr>
        <w:spacing w:line="273" w:lineRule="exact"/>
        <w:rPr>
          <w:rFonts w:eastAsia="Perpetua" w:cstheme="minorHAnsi"/>
        </w:rPr>
      </w:pPr>
      <w:r>
        <w:rPr>
          <w:rFonts w:eastAsia="Perpetua" w:cstheme="minorHAnsi"/>
        </w:rPr>
        <w:t>This could, of course, be reduced on the capital side by utilizing tax credit equity or other capital subsidy like HOME or CDBG. On the operating side, state outlay could be reduced by allocating Housing Choice Vouchers to some or all of the units. Finally, services funding paid for or enhanced with Medicaid payments could also reduce the amount of state outlay for case management services.</w:t>
      </w:r>
    </w:p>
    <w:p w:rsidR="005B0969" w:rsidRDefault="005B0969" w:rsidP="002D154E">
      <w:pPr>
        <w:spacing w:line="273" w:lineRule="exact"/>
        <w:rPr>
          <w:rFonts w:eastAsia="Perpetua" w:cstheme="minorHAnsi"/>
        </w:rPr>
      </w:pPr>
      <w:r>
        <w:rPr>
          <w:rFonts w:eastAsia="Perpetua" w:cstheme="minorHAnsi"/>
        </w:rPr>
        <w:t>The matching of resources to the task is the most important function of a strong IACSH. Over its many years of operating in Connecticut, the IACSH has been characterized by a high degree of creativity in identifying or re-purposing resources for supportive housing. This creativity and flexibility along with the willingness to keep a larger common goal in focus has been the key to its success.</w:t>
      </w:r>
    </w:p>
    <w:p w:rsidR="005B0969" w:rsidRDefault="005B0969" w:rsidP="002D154E">
      <w:pPr>
        <w:spacing w:line="273" w:lineRule="exact"/>
        <w:rPr>
          <w:rFonts w:eastAsia="Perpetua" w:cstheme="minorHAnsi"/>
        </w:rPr>
      </w:pPr>
    </w:p>
    <w:p w:rsidR="005B0969" w:rsidRDefault="005B0969" w:rsidP="002D154E">
      <w:pPr>
        <w:spacing w:line="273" w:lineRule="exact"/>
        <w:rPr>
          <w:rFonts w:eastAsia="Perpetua" w:cstheme="minorHAnsi"/>
        </w:rPr>
      </w:pPr>
    </w:p>
    <w:p w:rsidR="005B0969" w:rsidRDefault="005B0969" w:rsidP="002D154E">
      <w:pPr>
        <w:spacing w:line="273" w:lineRule="exact"/>
        <w:rPr>
          <w:rFonts w:eastAsia="Perpetua" w:cstheme="minorHAnsi"/>
        </w:rPr>
      </w:pPr>
    </w:p>
    <w:p w:rsidR="005B0969" w:rsidRPr="005B0969" w:rsidRDefault="005B0969" w:rsidP="002D154E">
      <w:pPr>
        <w:spacing w:line="273" w:lineRule="exact"/>
        <w:rPr>
          <w:rFonts w:eastAsia="Perpetua" w:cstheme="minorHAnsi"/>
        </w:rPr>
        <w:sectPr w:rsidR="005B0969" w:rsidRPr="005B0969">
          <w:footerReference w:type="default" r:id="rId6"/>
          <w:pgSz w:w="12240" w:h="15840"/>
          <w:pgMar w:top="1440" w:right="1220" w:bottom="1200" w:left="1220" w:header="0" w:footer="1015" w:gutter="0"/>
          <w:cols w:space="720"/>
        </w:sectPr>
      </w:pPr>
    </w:p>
    <w:p w:rsidR="002D154E" w:rsidRDefault="002D154E"/>
    <w:sectPr w:rsidR="002D1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F9" w:rsidRDefault="00885AF9" w:rsidP="005B0969">
      <w:pPr>
        <w:spacing w:after="0" w:line="240" w:lineRule="auto"/>
      </w:pPr>
      <w:r>
        <w:separator/>
      </w:r>
    </w:p>
  </w:endnote>
  <w:endnote w:type="continuationSeparator" w:id="0">
    <w:p w:rsidR="00885AF9" w:rsidRDefault="00885AF9" w:rsidP="005B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1F" w:rsidRPr="0054481F" w:rsidRDefault="005B0969" w:rsidP="0054481F">
    <w:pPr>
      <w:pStyle w:val="Footer"/>
      <w:rPr>
        <w:rFonts w:ascii="Perpetua" w:hAnsi="Perpetua"/>
      </w:rPr>
    </w:pPr>
    <w:r>
      <w:rPr>
        <w:rFonts w:ascii="Perpetua" w:hAnsi="Perpetua"/>
      </w:rPr>
      <w:t xml:space="preserve"> </w:t>
    </w:r>
    <w:r w:rsidR="00640180" w:rsidRPr="0054481F">
      <w:rPr>
        <w:rFonts w:ascii="Perpetua" w:hAnsi="Perpetua"/>
      </w:rPr>
      <w:tab/>
    </w:r>
    <w:r w:rsidR="00640180" w:rsidRPr="0054481F">
      <w:rPr>
        <w:rFonts w:ascii="Perpetua" w:hAnsi="Perpetua"/>
      </w:rPr>
      <w:tab/>
    </w:r>
  </w:p>
  <w:p w:rsidR="00CA7555" w:rsidRDefault="00885AF9">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F9" w:rsidRDefault="00885AF9" w:rsidP="005B0969">
      <w:pPr>
        <w:spacing w:after="0" w:line="240" w:lineRule="auto"/>
      </w:pPr>
      <w:r>
        <w:separator/>
      </w:r>
    </w:p>
  </w:footnote>
  <w:footnote w:type="continuationSeparator" w:id="0">
    <w:p w:rsidR="00885AF9" w:rsidRDefault="00885AF9" w:rsidP="005B0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4E"/>
    <w:rsid w:val="000E001F"/>
    <w:rsid w:val="000F29BB"/>
    <w:rsid w:val="001C4AF3"/>
    <w:rsid w:val="001D6FB1"/>
    <w:rsid w:val="001D7123"/>
    <w:rsid w:val="001E7A05"/>
    <w:rsid w:val="0020210D"/>
    <w:rsid w:val="00232313"/>
    <w:rsid w:val="00272201"/>
    <w:rsid w:val="002830BF"/>
    <w:rsid w:val="00292AF2"/>
    <w:rsid w:val="002D154E"/>
    <w:rsid w:val="00313EBA"/>
    <w:rsid w:val="00355C24"/>
    <w:rsid w:val="004E7021"/>
    <w:rsid w:val="004F2155"/>
    <w:rsid w:val="00581ACC"/>
    <w:rsid w:val="00590D8F"/>
    <w:rsid w:val="005B0969"/>
    <w:rsid w:val="006061E8"/>
    <w:rsid w:val="00622E95"/>
    <w:rsid w:val="00640180"/>
    <w:rsid w:val="00663F5F"/>
    <w:rsid w:val="0068205C"/>
    <w:rsid w:val="00687AFB"/>
    <w:rsid w:val="006A7A05"/>
    <w:rsid w:val="006C080D"/>
    <w:rsid w:val="00744012"/>
    <w:rsid w:val="007B293A"/>
    <w:rsid w:val="00885AF9"/>
    <w:rsid w:val="008B3936"/>
    <w:rsid w:val="00911B07"/>
    <w:rsid w:val="00A7555D"/>
    <w:rsid w:val="00AB0C5B"/>
    <w:rsid w:val="00B97256"/>
    <w:rsid w:val="00BF0FB8"/>
    <w:rsid w:val="00CE38F1"/>
    <w:rsid w:val="00DC15BF"/>
    <w:rsid w:val="00E432B8"/>
    <w:rsid w:val="00E570B5"/>
    <w:rsid w:val="00E67794"/>
    <w:rsid w:val="00EB0C40"/>
    <w:rsid w:val="00F34059"/>
    <w:rsid w:val="00FA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9FE1A-60C7-4A39-9D06-B10FE57F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D154E"/>
    <w:pPr>
      <w:widowControl w:val="0"/>
      <w:spacing w:after="0" w:line="240" w:lineRule="auto"/>
      <w:ind w:left="394"/>
      <w:outlineLvl w:val="2"/>
    </w:pPr>
    <w:rPr>
      <w:rFonts w:ascii="Perpetua" w:eastAsia="Perpetua" w:hAnsi="Perpetua"/>
      <w:b/>
      <w:bCs/>
      <w:sz w:val="24"/>
      <w:szCs w:val="24"/>
    </w:rPr>
  </w:style>
  <w:style w:type="paragraph" w:styleId="Heading4">
    <w:name w:val="heading 4"/>
    <w:basedOn w:val="Normal"/>
    <w:link w:val="Heading4Char"/>
    <w:uiPriority w:val="1"/>
    <w:qFormat/>
    <w:rsid w:val="002D154E"/>
    <w:pPr>
      <w:widowControl w:val="0"/>
      <w:spacing w:after="0" w:line="240" w:lineRule="auto"/>
      <w:ind w:left="100"/>
      <w:outlineLvl w:val="3"/>
    </w:pPr>
    <w:rPr>
      <w:rFonts w:ascii="Perpetua" w:eastAsia="Perpetua" w:hAnsi="Perpet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D154E"/>
    <w:rPr>
      <w:rFonts w:ascii="Perpetua" w:eastAsia="Perpetua" w:hAnsi="Perpetua"/>
      <w:b/>
      <w:bCs/>
      <w:sz w:val="24"/>
      <w:szCs w:val="24"/>
    </w:rPr>
  </w:style>
  <w:style w:type="character" w:customStyle="1" w:styleId="Heading4Char">
    <w:name w:val="Heading 4 Char"/>
    <w:basedOn w:val="DefaultParagraphFont"/>
    <w:link w:val="Heading4"/>
    <w:uiPriority w:val="1"/>
    <w:rsid w:val="002D154E"/>
    <w:rPr>
      <w:rFonts w:ascii="Perpetua" w:eastAsia="Perpetua" w:hAnsi="Perpetua"/>
      <w:b/>
      <w:bCs/>
    </w:rPr>
  </w:style>
  <w:style w:type="paragraph" w:styleId="BodyText">
    <w:name w:val="Body Text"/>
    <w:basedOn w:val="Normal"/>
    <w:link w:val="BodyTextChar"/>
    <w:uiPriority w:val="1"/>
    <w:qFormat/>
    <w:rsid w:val="002D154E"/>
    <w:pPr>
      <w:widowControl w:val="0"/>
      <w:spacing w:after="0" w:line="240" w:lineRule="auto"/>
      <w:ind w:left="820" w:hanging="360"/>
    </w:pPr>
    <w:rPr>
      <w:rFonts w:ascii="Perpetua" w:eastAsia="Perpetua" w:hAnsi="Perpetua"/>
    </w:rPr>
  </w:style>
  <w:style w:type="character" w:customStyle="1" w:styleId="BodyTextChar">
    <w:name w:val="Body Text Char"/>
    <w:basedOn w:val="DefaultParagraphFont"/>
    <w:link w:val="BodyText"/>
    <w:uiPriority w:val="1"/>
    <w:rsid w:val="002D154E"/>
    <w:rPr>
      <w:rFonts w:ascii="Perpetua" w:eastAsia="Perpetua" w:hAnsi="Perpetua"/>
    </w:rPr>
  </w:style>
  <w:style w:type="paragraph" w:customStyle="1" w:styleId="TableParagraph">
    <w:name w:val="Table Paragraph"/>
    <w:basedOn w:val="Normal"/>
    <w:uiPriority w:val="1"/>
    <w:qFormat/>
    <w:rsid w:val="002D154E"/>
    <w:pPr>
      <w:widowControl w:val="0"/>
      <w:spacing w:after="0" w:line="240" w:lineRule="auto"/>
    </w:pPr>
  </w:style>
  <w:style w:type="paragraph" w:styleId="Footer">
    <w:name w:val="footer"/>
    <w:basedOn w:val="Normal"/>
    <w:link w:val="FooterChar"/>
    <w:uiPriority w:val="99"/>
    <w:unhideWhenUsed/>
    <w:rsid w:val="002D154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D154E"/>
  </w:style>
  <w:style w:type="paragraph" w:styleId="Header">
    <w:name w:val="header"/>
    <w:basedOn w:val="Normal"/>
    <w:link w:val="HeaderChar"/>
    <w:uiPriority w:val="99"/>
    <w:unhideWhenUsed/>
    <w:rsid w:val="005B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Dunne</dc:creator>
  <cp:lastModifiedBy>Jamie Blackburn</cp:lastModifiedBy>
  <cp:revision>2</cp:revision>
  <dcterms:created xsi:type="dcterms:W3CDTF">2021-03-05T17:18:00Z</dcterms:created>
  <dcterms:modified xsi:type="dcterms:W3CDTF">2021-03-05T17:18:00Z</dcterms:modified>
</cp:coreProperties>
</file>