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C23133" w:rsidRPr="00A911E0" w14:paraId="7BB854C8" w14:textId="77777777" w:rsidTr="00C23133">
        <w:trPr>
          <w:trHeight w:val="288"/>
          <w:jc w:val="center"/>
        </w:trPr>
        <w:tc>
          <w:tcPr>
            <w:tcW w:w="10800" w:type="dxa"/>
            <w:shd w:val="clear" w:color="auto" w:fill="485668"/>
            <w:vAlign w:val="center"/>
            <w:hideMark/>
          </w:tcPr>
          <w:p w14:paraId="0F52EF70" w14:textId="2E2EFCCC" w:rsidR="00C23133" w:rsidRPr="00C23133" w:rsidRDefault="00C23133" w:rsidP="00C23133">
            <w:pPr>
              <w:spacing w:before="120"/>
              <w:ind w:left="4300"/>
              <w:rPr>
                <w:rFonts w:cstheme="maj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ajorHAnsi"/>
                <w:b/>
                <w:noProof/>
                <w:color w:val="FFFFFF" w:themeColor="background1"/>
                <w:sz w:val="36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999663A" wp14:editId="095E4D68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69215</wp:posOffset>
                  </wp:positionV>
                  <wp:extent cx="2181225" cy="365125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Horizontal Green &amp; 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3133">
              <w:rPr>
                <w:rFonts w:cstheme="majorHAnsi"/>
                <w:b/>
                <w:color w:val="FFFFFF" w:themeColor="background1"/>
                <w:sz w:val="32"/>
                <w:szCs w:val="24"/>
              </w:rPr>
              <w:t xml:space="preserve">GRANT FUNDING PERIODS AND </w:t>
            </w:r>
            <w:r>
              <w:rPr>
                <w:rFonts w:cstheme="majorHAnsi"/>
                <w:b/>
                <w:color w:val="FFFFFF" w:themeColor="background1"/>
                <w:sz w:val="32"/>
                <w:szCs w:val="24"/>
              </w:rPr>
              <w:br/>
            </w:r>
            <w:r w:rsidRPr="00C23133">
              <w:rPr>
                <w:rFonts w:cstheme="majorHAnsi"/>
                <w:b/>
                <w:color w:val="FFFFFF" w:themeColor="background1"/>
                <w:sz w:val="32"/>
                <w:szCs w:val="24"/>
              </w:rPr>
              <w:t>CLOSING DATE REQUIREMENTS</w:t>
            </w:r>
          </w:p>
        </w:tc>
      </w:tr>
      <w:tr w:rsidR="00C23133" w:rsidRPr="00A911E0" w14:paraId="469ABDF5" w14:textId="77777777" w:rsidTr="00C23133">
        <w:trPr>
          <w:trHeight w:val="432"/>
          <w:jc w:val="center"/>
        </w:trPr>
        <w:tc>
          <w:tcPr>
            <w:tcW w:w="10800" w:type="dxa"/>
            <w:shd w:val="clear" w:color="auto" w:fill="auto"/>
            <w:vAlign w:val="center"/>
          </w:tcPr>
          <w:p w14:paraId="289DBE50" w14:textId="17424185" w:rsidR="00C23133" w:rsidRPr="00053F79" w:rsidRDefault="00C23133" w:rsidP="00C23133">
            <w:pPr>
              <w:pStyle w:val="BodyText"/>
              <w:ind w:left="0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</w:rPr>
            </w:pPr>
            <w:r w:rsidRPr="00053F79">
              <w:rPr>
                <w:rFonts w:ascii="Arial" w:hAnsi="Arial" w:cs="Arial"/>
                <w:sz w:val="22"/>
              </w:rPr>
              <w:t>MaineHousing Programs administered through Energy and Housing Services (EHS)</w:t>
            </w:r>
          </w:p>
        </w:tc>
      </w:tr>
    </w:tbl>
    <w:p w14:paraId="415F443F" w14:textId="45462F7C" w:rsidR="00024AB3" w:rsidRPr="00F266AE" w:rsidRDefault="00024AB3">
      <w:pPr>
        <w:rPr>
          <w:rFonts w:ascii="Arial" w:hAnsi="Arial" w:cs="Arial"/>
          <w:sz w:val="16"/>
          <w:szCs w:val="16"/>
        </w:rPr>
      </w:pPr>
    </w:p>
    <w:p w14:paraId="30987CF1" w14:textId="2B43F522" w:rsidR="00024AB3" w:rsidRPr="00F266AE" w:rsidRDefault="00024A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24AB3" w:rsidRPr="00A911E0" w14:paraId="53876B74" w14:textId="77777777" w:rsidTr="00044519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067F0FA2" w14:textId="77777777" w:rsidR="00024AB3" w:rsidRPr="00F266AE" w:rsidRDefault="00024AB3" w:rsidP="00F266AE">
            <w:pPr>
              <w:pStyle w:val="BodyText"/>
              <w:spacing w:before="20" w:after="20"/>
              <w:ind w:left="0"/>
              <w:jc w:val="center"/>
              <w:rPr>
                <w:rFonts w:asciiTheme="minorHAnsi" w:hAnsiTheme="minorHAnsi" w:cs="Arial"/>
                <w:sz w:val="28"/>
              </w:rPr>
            </w:pPr>
            <w:r w:rsidRPr="00F266AE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Central Heating Improvement Program (CHIP)</w:t>
            </w:r>
          </w:p>
        </w:tc>
      </w:tr>
      <w:tr w:rsidR="00024AB3" w:rsidRPr="00A911E0" w14:paraId="2237E782" w14:textId="77777777" w:rsidTr="00044519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4292B" w14:textId="2B96DDBF" w:rsidR="00024AB3" w:rsidRPr="003F6E5F" w:rsidRDefault="00F266AE" w:rsidP="00053F79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by </w:t>
            </w:r>
            <w:r w:rsidR="00024AB3" w:rsidRPr="003F6E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Department of Health and Human Services (DHHS)</w:t>
            </w:r>
          </w:p>
          <w:p w14:paraId="4E859796" w14:textId="26A645EA" w:rsidR="00024AB3" w:rsidRPr="003F6E5F" w:rsidRDefault="00024AB3" w:rsidP="00044519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CHIP</w:t>
            </w:r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Plan Year 202</w:t>
            </w:r>
            <w:r w:rsidR="002A71C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3</w:t>
            </w:r>
          </w:p>
          <w:p w14:paraId="7615248A" w14:textId="3C700F75" w:rsidR="00024AB3" w:rsidRPr="003D0CB1" w:rsidRDefault="00024AB3" w:rsidP="003D0CB1">
            <w:pPr>
              <w:pStyle w:val="BodyText"/>
              <w:spacing w:after="80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October 1, </w:t>
            </w:r>
            <w:proofErr w:type="gramStart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140B38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 30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, 2024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86DD75E" w14:textId="5822C4D7" w:rsidR="00024AB3" w:rsidRDefault="00024AB3" w:rsidP="002A71C6">
            <w:pPr>
              <w:pStyle w:val="BodyText"/>
              <w:spacing w:after="12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CAAs must complete and inspect all </w:t>
            </w:r>
            <w:r w:rsidR="00094300"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CHIP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PY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funded jobs by 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 30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, 2024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  The final PY 20</w:t>
            </w:r>
            <w:r w:rsidR="009650EC"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invoice must be submitted to MaineHousing by 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October 31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, 2024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 Any corrections to invoices, reworks, and/or additions to WAP jobs completed after 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September 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, 2024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 later by contract amendment, may not be paid</w:t>
            </w:r>
            <w:r w:rsidR="00F266AE"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8EC1C86" w14:textId="29E63ECC" w:rsidR="009A7DE1" w:rsidRPr="003F6E5F" w:rsidRDefault="009A7DE1" w:rsidP="009A7DE1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CHIP</w:t>
            </w:r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Plan Year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050EFF66" w14:textId="35B812CF" w:rsidR="009A7DE1" w:rsidRPr="003D0CB1" w:rsidRDefault="009A7DE1" w:rsidP="009A7DE1">
            <w:pPr>
              <w:pStyle w:val="BodyText"/>
              <w:spacing w:after="80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October 1, </w:t>
            </w:r>
            <w:proofErr w:type="gramStart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through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March 31,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427B42D" w14:textId="68E2F091" w:rsidR="009A7DE1" w:rsidRDefault="009A7DE1" w:rsidP="009A7DE1">
            <w:pPr>
              <w:pStyle w:val="BodyText"/>
              <w:spacing w:after="120"/>
              <w:ind w:left="360"/>
              <w:rPr>
                <w:rFonts w:asciiTheme="minorHAnsi" w:hAnsiTheme="minorHAnsi" w:cs="Arial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CAAs must complete and inspect all CHIP PY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funded jobs by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March 31,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  The final PY 202</w:t>
            </w:r>
            <w:r w:rsidR="00F1255D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invoice must be submitted to MaineHousing by </w:t>
            </w:r>
            <w:r w:rsidR="00140B38">
              <w:rPr>
                <w:rFonts w:ascii="Arial" w:hAnsi="Arial" w:cs="Arial"/>
                <w:color w:val="000000" w:themeColor="text1"/>
                <w:sz w:val="18"/>
                <w:szCs w:val="18"/>
              </w:rPr>
              <w:t>October 31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202</w:t>
            </w:r>
            <w:r w:rsidR="00F1255D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 Any corrections to invoices, reworks, and/or additions to WAP jobs completed after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March 31,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, or later by contract amendment, may not be paid.</w:t>
            </w:r>
          </w:p>
        </w:tc>
      </w:tr>
    </w:tbl>
    <w:p w14:paraId="691FF12A" w14:textId="780FDF0E" w:rsidR="00024AB3" w:rsidRDefault="00024A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94300" w:rsidRPr="00A911E0" w14:paraId="5144AB35" w14:textId="77777777" w:rsidTr="00044519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26D4EAE9" w14:textId="4F6FD5ED" w:rsidR="00094300" w:rsidRPr="003F6E5F" w:rsidRDefault="00094300" w:rsidP="00094300">
            <w:pPr>
              <w:pStyle w:val="BodyText"/>
              <w:spacing w:before="20" w:after="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Home Energy Assistance Program</w:t>
            </w: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HEAP</w:t>
            </w:r>
            <w:r w:rsidR="003D0CB1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, TANF, ECIP</w:t>
            </w: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)</w:t>
            </w:r>
          </w:p>
        </w:tc>
      </w:tr>
      <w:tr w:rsidR="00094300" w:rsidRPr="00A911E0" w14:paraId="6624039E" w14:textId="77777777" w:rsidTr="00044519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A5A7C" w14:textId="77777777" w:rsidR="00094300" w:rsidRPr="003F6E5F" w:rsidRDefault="00094300" w:rsidP="00094300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by </w:t>
            </w:r>
            <w:r w:rsidRPr="003F6E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Department of Health and Human Services (DHHS)</w:t>
            </w:r>
          </w:p>
          <w:p w14:paraId="21C36009" w14:textId="360953DF" w:rsidR="00094300" w:rsidRPr="00A15F01" w:rsidRDefault="00094300" w:rsidP="00044519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HEAP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Plan Year 202</w:t>
            </w:r>
            <w:r w:rsidR="002A71C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4EFFDD8C" w14:textId="74932F5F" w:rsidR="00094300" w:rsidRPr="003D0CB1" w:rsidRDefault="00094300" w:rsidP="003D0CB1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October 1, </w:t>
            </w:r>
            <w:proofErr w:type="gramStart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September 30,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F47F237" w14:textId="43C0F8BA" w:rsidR="00094300" w:rsidRPr="00A15F01" w:rsidRDefault="00094300" w:rsidP="002A71C6">
            <w:pPr>
              <w:pStyle w:val="BodyText"/>
              <w:spacing w:after="120"/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The final PY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invoice must be submitted to MaineHousing by October 31,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 Any corrections to invoices and/or additions </w:t>
            </w:r>
            <w:r w:rsidR="00E45F35"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submitted 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after </w:t>
            </w:r>
            <w:r w:rsidR="00E45F35"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October 31,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, or later by contract amendment, may not be paid.</w:t>
            </w:r>
          </w:p>
        </w:tc>
      </w:tr>
    </w:tbl>
    <w:p w14:paraId="76EDBC2B" w14:textId="6C04EE55" w:rsidR="006207F3" w:rsidRDefault="006207F3">
      <w:pPr>
        <w:rPr>
          <w:rFonts w:ascii="Arial" w:hAnsi="Arial" w:cs="Arial"/>
          <w:sz w:val="16"/>
          <w:szCs w:val="16"/>
        </w:rPr>
      </w:pPr>
    </w:p>
    <w:p w14:paraId="61AEC54B" w14:textId="75304D05" w:rsidR="00024AB3" w:rsidRDefault="00024A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67D21" w:rsidRPr="00A911E0" w14:paraId="7068B3A0" w14:textId="77777777" w:rsidTr="00077A97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37591ADF" w14:textId="77777777" w:rsidR="00067D21" w:rsidRPr="003F6E5F" w:rsidRDefault="00067D21" w:rsidP="00077A97">
            <w:pPr>
              <w:pStyle w:val="BodyText"/>
              <w:spacing w:before="20" w:after="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0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Home Accessibility and Repair Program (HARP)</w:t>
            </w:r>
          </w:p>
        </w:tc>
      </w:tr>
      <w:tr w:rsidR="00067D21" w:rsidRPr="00A911E0" w14:paraId="3F26D1F1" w14:textId="77777777" w:rsidTr="00077A97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0006D" w14:textId="77777777" w:rsidR="00067D21" w:rsidRPr="00A15F01" w:rsidRDefault="00067D21" w:rsidP="00077A97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15F0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Funding authorized by the State of Maine Legislature</w:t>
            </w:r>
          </w:p>
          <w:p w14:paraId="0FDD46D1" w14:textId="4CCB80D0" w:rsidR="00067D21" w:rsidRPr="00A15F01" w:rsidRDefault="00067D21" w:rsidP="00077A97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HARP Plan Year 202</w:t>
            </w:r>
            <w:r w:rsidR="009A7D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36F28516" w14:textId="2A708EAB" w:rsidR="00067D21" w:rsidRPr="003D0CB1" w:rsidRDefault="00067D21" w:rsidP="00077A97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January 1, </w:t>
            </w:r>
            <w:proofErr w:type="gramStart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9A7DE1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December 31, 202</w:t>
            </w:r>
            <w:r w:rsidR="009A7DE1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0E86992" w14:textId="5A35FEA1" w:rsidR="00067D21" w:rsidRPr="00A15F01" w:rsidRDefault="00067D21" w:rsidP="003D37AA">
            <w:pPr>
              <w:pStyle w:val="Heading4"/>
              <w:spacing w:after="120"/>
              <w:ind w:left="360" w:firstLine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 xml:space="preserve">Grant Closing Requirements:  </w:t>
            </w:r>
            <w:r w:rsidRPr="003D0CB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HARP Phase 1 electronic file submissions including invoices are due to MaineHousing no later than November 1, 202</w:t>
            </w:r>
            <w:r w:rsidR="009A7DE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4</w:t>
            </w:r>
            <w:r w:rsidRPr="003D0CB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 xml:space="preserve">. HARP Phase 2 electronic file submissions including invoices are due to MaineHousing no later than December </w:t>
            </w:r>
            <w:r w:rsidR="003D37AA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15</w:t>
            </w:r>
            <w:r w:rsidRPr="003D0CB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, 202</w:t>
            </w:r>
            <w:r w:rsidR="009A7DE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4</w:t>
            </w:r>
            <w:r w:rsidRPr="003D0CB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u w:val="none"/>
              </w:rPr>
              <w:t>.</w:t>
            </w:r>
          </w:p>
        </w:tc>
      </w:tr>
    </w:tbl>
    <w:p w14:paraId="5907AEAD" w14:textId="5E1CBC68" w:rsidR="00067D21" w:rsidRDefault="00067D21">
      <w:pPr>
        <w:rPr>
          <w:rFonts w:ascii="Arial" w:hAnsi="Arial" w:cs="Arial"/>
          <w:sz w:val="16"/>
          <w:szCs w:val="16"/>
        </w:rPr>
      </w:pPr>
    </w:p>
    <w:p w14:paraId="0F74B93A" w14:textId="77777777" w:rsidR="00067D21" w:rsidRPr="006207F3" w:rsidRDefault="00067D2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24AB3" w:rsidRPr="00A911E0" w14:paraId="1E0C2163" w14:textId="77777777" w:rsidTr="00044519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41C7837D" w14:textId="77777777" w:rsidR="00024AB3" w:rsidRPr="003F6E5F" w:rsidRDefault="00024AB3" w:rsidP="00F266AE">
            <w:pPr>
              <w:pStyle w:val="BodyText"/>
              <w:spacing w:before="20" w:after="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0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Lead Remediation Programs (Lead)</w:t>
            </w:r>
          </w:p>
        </w:tc>
      </w:tr>
      <w:tr w:rsidR="00024AB3" w:rsidRPr="00A911E0" w14:paraId="74F83271" w14:textId="77777777" w:rsidTr="00044519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997AC" w14:textId="488C01B9" w:rsidR="00024AB3" w:rsidRPr="00A15F01" w:rsidRDefault="00F266AE" w:rsidP="00024AB3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</w:t>
            </w:r>
            <w:r w:rsidR="00024AB3" w:rsidRPr="00A15F0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U.S. Department of Housing and Urban Development (HUD)</w:t>
            </w:r>
          </w:p>
          <w:p w14:paraId="37EC90FA" w14:textId="0CA824C9" w:rsidR="00024AB3" w:rsidRPr="00A15F01" w:rsidRDefault="00024AB3" w:rsidP="00044519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Lead Hazard Reduction Grant Program (Federal Lead) Plan Year 202</w:t>
            </w:r>
            <w:r w:rsidR="0095021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3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-20</w:t>
            </w:r>
            <w:r w:rsidR="00053F7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95021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7</w:t>
            </w:r>
          </w:p>
          <w:p w14:paraId="70054F55" w14:textId="04A28B1F" w:rsidR="006207F3" w:rsidRPr="003D0CB1" w:rsidRDefault="00024AB3" w:rsidP="003D0CB1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on </w:t>
            </w:r>
            <w:r w:rsidR="009502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December 1, </w:t>
            </w:r>
            <w:proofErr w:type="gramStart"/>
            <w:r w:rsidR="00950218">
              <w:rPr>
                <w:rFonts w:ascii="Arial" w:hAnsi="Arial" w:cs="Arial"/>
                <w:color w:val="000000" w:themeColor="text1"/>
                <w:sz w:val="18"/>
                <w:szCs w:val="18"/>
              </w:rPr>
              <w:t>2023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end on </w:t>
            </w:r>
            <w:r w:rsidR="00950218"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November 1, 2027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982AB74" w14:textId="1406669B" w:rsidR="006207F3" w:rsidRPr="006207F3" w:rsidRDefault="006207F3" w:rsidP="003D0CB1">
            <w:pPr>
              <w:pStyle w:val="BodyText"/>
              <w:spacing w:after="12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Federal Lead Phase 1 electronic file submissions including invoices are due to MaineHousing no later than </w:t>
            </w:r>
            <w:r w:rsidR="0095722E">
              <w:rPr>
                <w:rFonts w:ascii="Arial" w:hAnsi="Arial" w:cs="Arial"/>
                <w:color w:val="000000" w:themeColor="text1"/>
                <w:sz w:val="18"/>
                <w:szCs w:val="18"/>
              </w:rPr>
              <w:t>August 1, 2027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Federal Lead Phase 2 electronic file submissions including invoices are due to MaineHousing no later than </w:t>
            </w:r>
            <w:r w:rsidR="0095722E">
              <w:rPr>
                <w:rFonts w:ascii="Arial" w:hAnsi="Arial" w:cs="Arial"/>
                <w:color w:val="000000" w:themeColor="text1"/>
                <w:sz w:val="18"/>
                <w:szCs w:val="18"/>
              </w:rPr>
              <w:t>October 15, 2027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24AB3" w:rsidRPr="00A911E0" w14:paraId="5CF3B9C0" w14:textId="77777777" w:rsidTr="00044519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406D1" w14:textId="77777777" w:rsidR="00024AB3" w:rsidRPr="00A15F01" w:rsidRDefault="00024AB3" w:rsidP="00F266AE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15F0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Onetime funding authorized by the State of Maine Legislature</w:t>
            </w:r>
          </w:p>
          <w:p w14:paraId="4576842D" w14:textId="25FBF005" w:rsidR="00024AB3" w:rsidRPr="00A15F01" w:rsidRDefault="00024AB3" w:rsidP="00044519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Lead Hazard </w:t>
            </w:r>
            <w:r w:rsidR="004E73F4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Reduction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Program (</w:t>
            </w:r>
            <w:r w:rsidR="004E73F4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MDHHS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) Plan Year 20</w:t>
            </w:r>
            <w:r w:rsidR="003D37A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23</w:t>
            </w:r>
          </w:p>
          <w:p w14:paraId="6D64E8C1" w14:textId="34CC3876" w:rsidR="003D37AA" w:rsidRPr="003D0CB1" w:rsidRDefault="003D37AA" w:rsidP="003D37AA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July 1, </w:t>
            </w:r>
            <w:proofErr w:type="gramStart"/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2023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4E73F4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 30, 2024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0ECB2A2" w14:textId="215152E6" w:rsidR="006207F3" w:rsidRDefault="006207F3" w:rsidP="003D37AA">
            <w:pPr>
              <w:pStyle w:val="BodyText"/>
              <w:spacing w:after="12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State Lead Phase 1 electronic file submissions including invoices are due to MaineHousing no later than </w:t>
            </w:r>
            <w:r w:rsidR="0095722E">
              <w:rPr>
                <w:rFonts w:ascii="Arial" w:hAnsi="Arial" w:cs="Arial"/>
                <w:color w:val="000000" w:themeColor="text1"/>
                <w:sz w:val="18"/>
                <w:szCs w:val="18"/>
              </w:rPr>
              <w:t>February 28,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Federal Lead Phase 2 electronic file submissions including invoices are due to MaineHousing no later than </w:t>
            </w:r>
            <w:r w:rsidR="0095722E">
              <w:rPr>
                <w:rFonts w:ascii="Arial" w:hAnsi="Arial" w:cs="Arial"/>
                <w:color w:val="000000" w:themeColor="text1"/>
                <w:sz w:val="18"/>
                <w:szCs w:val="18"/>
              </w:rPr>
              <w:t>March 15,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38DB989" w14:textId="1FD1B07B" w:rsidR="0095722E" w:rsidRPr="00A15F01" w:rsidRDefault="0095722E" w:rsidP="0095722E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Lead Paint Hazard Abatement Progra</w:t>
            </w:r>
            <w:r w:rsidR="00BC3E7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m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(</w:t>
            </w:r>
            <w:r w:rsidR="00BC3E7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Z267</w:t>
            </w: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) Plan Year 20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F5334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6F137796" w14:textId="2A6D5A03" w:rsidR="0095722E" w:rsidRPr="003D0CB1" w:rsidRDefault="0095722E" w:rsidP="0095722E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</w:t>
            </w:r>
            <w:r w:rsidR="00BC3E7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July 1, </w:t>
            </w:r>
            <w:proofErr w:type="gramStart"/>
            <w:r w:rsidR="00BC3E7A">
              <w:rPr>
                <w:rFonts w:ascii="Arial" w:hAnsi="Arial" w:cs="Arial"/>
                <w:color w:val="000000" w:themeColor="text1"/>
                <w:sz w:val="18"/>
                <w:szCs w:val="18"/>
              </w:rPr>
              <w:t>2024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BC3E7A">
              <w:rPr>
                <w:rFonts w:ascii="Arial" w:hAnsi="Arial" w:cs="Arial"/>
                <w:color w:val="000000" w:themeColor="text1"/>
                <w:sz w:val="18"/>
                <w:szCs w:val="18"/>
              </w:rPr>
              <w:t>June 30, 2025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EB97CC0" w14:textId="58DFA5E2" w:rsidR="0095722E" w:rsidRPr="00A15F01" w:rsidRDefault="0095722E" w:rsidP="0095722E">
            <w:pPr>
              <w:pStyle w:val="BodyText"/>
              <w:spacing w:after="120"/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State Lead Phase 1 electronic file submissions including invoices are due to MaineHousing no later than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November 1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,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Federal Lead Phase 2 electronic file submissions including invoices are due to MaineHousing no later than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December 15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2023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EAAF5FE" w14:textId="1B8A58AE" w:rsidR="00024AB3" w:rsidRDefault="00024A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24AB3" w:rsidRPr="00A911E0" w14:paraId="3713AF84" w14:textId="77777777" w:rsidTr="00044519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1E517C21" w14:textId="77777777" w:rsidR="00024AB3" w:rsidRPr="003F6E5F" w:rsidRDefault="00024AB3" w:rsidP="00F266AE">
            <w:pPr>
              <w:pStyle w:val="BodyText"/>
              <w:spacing w:before="20" w:after="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0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Low Income Assistance Plan (LIAP)</w:t>
            </w:r>
          </w:p>
        </w:tc>
      </w:tr>
      <w:tr w:rsidR="00024AB3" w:rsidRPr="00A911E0" w14:paraId="13A788DB" w14:textId="77777777" w:rsidTr="00044519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985A7" w14:textId="4D636DDB" w:rsidR="00024AB3" w:rsidRPr="00A15F01" w:rsidRDefault="00F266AE" w:rsidP="00024AB3">
            <w:pPr>
              <w:pStyle w:val="BodyText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by </w:t>
            </w:r>
            <w:r w:rsidR="00024AB3" w:rsidRPr="00A15F0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Maine Public Utilities Commission (MPUC)</w:t>
            </w:r>
          </w:p>
          <w:p w14:paraId="69D93241" w14:textId="447A9233" w:rsidR="00024AB3" w:rsidRPr="00A15F01" w:rsidRDefault="00024AB3" w:rsidP="00044519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A15F0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LIAP Plan Year 202</w:t>
            </w:r>
            <w:r w:rsidR="002A71C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1850558F" w14:textId="4F82BFD5" w:rsidR="00024AB3" w:rsidRPr="003D0CB1" w:rsidRDefault="00024AB3" w:rsidP="003D0CB1">
            <w:pPr>
              <w:pStyle w:val="BodyText"/>
              <w:spacing w:after="8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October 1, </w:t>
            </w:r>
            <w:proofErr w:type="gramStart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September 30,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4C69D89B" w14:textId="69E4E6A0" w:rsidR="00E45F35" w:rsidRPr="00A15F01" w:rsidRDefault="00E45F35" w:rsidP="002A71C6">
            <w:pPr>
              <w:pStyle w:val="BodyText"/>
              <w:spacing w:after="120"/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D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Grant Closing Requirements: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The final PY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invoice must be submitted to MaineHousing by October 31,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.  Any corrections to invoices and/or additions submitted after October 31, 202</w:t>
            </w:r>
            <w:r w:rsidR="002A71C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3D0CB1">
              <w:rPr>
                <w:rFonts w:ascii="Arial" w:hAnsi="Arial" w:cs="Arial"/>
                <w:color w:val="000000" w:themeColor="text1"/>
                <w:sz w:val="18"/>
                <w:szCs w:val="18"/>
              </w:rPr>
              <w:t>, or later by contract amendment, may not be paid.</w:t>
            </w:r>
          </w:p>
        </w:tc>
      </w:tr>
    </w:tbl>
    <w:p w14:paraId="62A3E1E6" w14:textId="44A0A305" w:rsidR="006207F3" w:rsidRDefault="006207F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067D21" w:rsidRPr="00A911E0" w14:paraId="1D17FF24" w14:textId="77777777" w:rsidTr="00077A97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673FFE9F" w14:textId="10797C91" w:rsidR="00067D21" w:rsidRPr="003F6E5F" w:rsidRDefault="00067D21" w:rsidP="00067D21">
            <w:pPr>
              <w:pStyle w:val="BodyText"/>
              <w:spacing w:before="20" w:after="20"/>
              <w:ind w:left="0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MaineHousing Heat Pump</w:t>
            </w: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 xml:space="preserve"> Program (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M</w:t>
            </w: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HP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P</w:t>
            </w:r>
            <w:r w:rsidRPr="003F6E5F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)</w:t>
            </w:r>
          </w:p>
        </w:tc>
      </w:tr>
      <w:tr w:rsidR="00067D21" w:rsidRPr="00A911E0" w14:paraId="1DA391E9" w14:textId="77777777" w:rsidTr="00A21371">
        <w:trPr>
          <w:trHeight w:val="154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D73E3" w14:textId="77777777" w:rsidR="00A21371" w:rsidRDefault="00A21371" w:rsidP="00A21371">
            <w:pPr>
              <w:pStyle w:val="BodyText"/>
              <w:spacing w:before="120" w:after="120"/>
              <w:ind w:left="0"/>
              <w:jc w:val="center"/>
              <w:rPr>
                <w:rFonts w:cstheme="majorHAnsi"/>
                <w:b/>
                <w:noProof/>
                <w:color w:val="FFFFFF" w:themeColor="background1"/>
                <w:sz w:val="36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by </w:t>
            </w:r>
            <w:r w:rsidRPr="00A15F0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U.S. Department of Energy (DOE)</w:t>
            </w:r>
          </w:p>
          <w:p w14:paraId="72537F76" w14:textId="77777777" w:rsidR="00A21371" w:rsidRPr="00C23133" w:rsidRDefault="00A21371" w:rsidP="00A21371">
            <w:pPr>
              <w:pStyle w:val="BodyText"/>
              <w:spacing w:after="120"/>
              <w:ind w:left="0"/>
              <w:rPr>
                <w:rFonts w:cstheme="majorHAnsi"/>
                <w:b/>
                <w:noProof/>
                <w:color w:val="000000" w:themeColor="text1"/>
                <w:sz w:val="36"/>
              </w:rPr>
            </w:pPr>
            <w:bookmarkStart w:id="0" w:name="_Toc4487473"/>
            <w:r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 xml:space="preserve">SERC Heat Pump </w:t>
            </w:r>
            <w:r w:rsidRPr="00C23133"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Plan Year 202</w:t>
            </w:r>
            <w:bookmarkEnd w:id="0"/>
            <w:r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3</w:t>
            </w:r>
          </w:p>
          <w:p w14:paraId="084DD452" w14:textId="12EE146F" w:rsidR="00A21371" w:rsidRPr="00A15F01" w:rsidRDefault="00A21371" w:rsidP="00A21371">
            <w:pPr>
              <w:pStyle w:val="BodyText"/>
              <w:spacing w:after="80"/>
              <w:ind w:left="360" w:righ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April 1, </w:t>
            </w:r>
            <w:proofErr w:type="gramStart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4274D9">
              <w:rPr>
                <w:rFonts w:ascii="Arial" w:hAnsi="Arial" w:cs="Arial"/>
                <w:color w:val="000000" w:themeColor="text1"/>
                <w:sz w:val="18"/>
                <w:szCs w:val="18"/>
              </w:rPr>
              <w:t>July</w:t>
            </w: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31, 202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4D792BBE" w14:textId="3E36F490" w:rsidR="00A21371" w:rsidRDefault="00A21371" w:rsidP="001A4685">
            <w:pPr>
              <w:spacing w:after="120"/>
              <w:ind w:left="360" w:right="360"/>
            </w:pPr>
            <w:r w:rsidRPr="00A15F01">
              <w:rPr>
                <w:rFonts w:ascii="Arial" w:hAnsi="Arial" w:cs="Arial"/>
                <w:b/>
                <w:sz w:val="18"/>
                <w:szCs w:val="18"/>
              </w:rPr>
              <w:t>Grant Closing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  <w:r w:rsidRPr="00A15F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 CAAs must complete and inspect all DOE PY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funded jobs by </w:t>
            </w:r>
            <w:r w:rsidR="004274D9">
              <w:rPr>
                <w:rFonts w:ascii="Arial" w:hAnsi="Arial" w:cs="Arial"/>
                <w:sz w:val="18"/>
                <w:szCs w:val="18"/>
              </w:rPr>
              <w:t>July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31, 202</w:t>
            </w:r>
            <w:r>
              <w:rPr>
                <w:rFonts w:ascii="Arial" w:hAnsi="Arial" w:cs="Arial"/>
                <w:sz w:val="18"/>
                <w:szCs w:val="18"/>
              </w:rPr>
              <w:t>4. The final PY 2023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invoice must be submitted to MaineHousing by </w:t>
            </w:r>
            <w:r w:rsidR="004274D9">
              <w:rPr>
                <w:rFonts w:ascii="Arial" w:hAnsi="Arial" w:cs="Arial"/>
                <w:sz w:val="18"/>
                <w:szCs w:val="18"/>
              </w:rPr>
              <w:t>August 31</w:t>
            </w:r>
            <w:r w:rsidRPr="00A15F01">
              <w:rPr>
                <w:rFonts w:ascii="Arial" w:hAnsi="Arial" w:cs="Arial"/>
                <w:sz w:val="18"/>
                <w:szCs w:val="18"/>
              </w:rPr>
              <w:t>,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.  Any corrections to invoices, reworks, and/or additions to WAP jobs completed after </w:t>
            </w:r>
            <w:r w:rsidR="004274D9">
              <w:rPr>
                <w:rFonts w:ascii="Arial" w:hAnsi="Arial" w:cs="Arial"/>
                <w:sz w:val="18"/>
                <w:szCs w:val="18"/>
              </w:rPr>
              <w:t>July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31, </w:t>
            </w:r>
            <w:proofErr w:type="gramStart"/>
            <w:r w:rsidRPr="00A15F01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  <w:r w:rsidRPr="00A15F01">
              <w:rPr>
                <w:rFonts w:ascii="Arial" w:hAnsi="Arial" w:cs="Arial"/>
                <w:sz w:val="18"/>
                <w:szCs w:val="18"/>
              </w:rPr>
              <w:t xml:space="preserve"> may not be paid.</w:t>
            </w:r>
          </w:p>
          <w:p w14:paraId="30E6B467" w14:textId="2DB680D5" w:rsidR="00A21371" w:rsidRPr="00A21371" w:rsidRDefault="00A21371" w:rsidP="00A21371"/>
        </w:tc>
      </w:tr>
    </w:tbl>
    <w:p w14:paraId="068F5AF2" w14:textId="0AC4B3AC" w:rsidR="00024AB3" w:rsidRPr="00F266AE" w:rsidRDefault="00024AB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3F6E5F" w:rsidRPr="00A911E0" w14:paraId="173218D6" w14:textId="77777777" w:rsidTr="00024AB3">
        <w:trPr>
          <w:trHeight w:val="288"/>
          <w:jc w:val="center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BE3"/>
            <w:vAlign w:val="center"/>
          </w:tcPr>
          <w:p w14:paraId="1A49AB02" w14:textId="2D6DC909" w:rsidR="003F6E5F" w:rsidRPr="00833C8D" w:rsidRDefault="003F6E5F" w:rsidP="00F266AE">
            <w:pPr>
              <w:spacing w:before="20" w:after="20"/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833C8D">
              <w:rPr>
                <w:rFonts w:ascii="Arial" w:hAnsi="Arial" w:cs="Arial"/>
                <w:b/>
                <w:noProof/>
                <w:color w:val="000000" w:themeColor="text1"/>
                <w:sz w:val="28"/>
                <w:szCs w:val="32"/>
              </w:rPr>
              <w:t>Weatherization Assistance Programs (WAP)</w:t>
            </w:r>
          </w:p>
        </w:tc>
      </w:tr>
      <w:tr w:rsidR="003F6E5F" w:rsidRPr="00A911E0" w14:paraId="46A6FF05" w14:textId="77777777" w:rsidTr="00024AB3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02C15C" w14:textId="77777777" w:rsidR="006907E1" w:rsidRDefault="006907E1" w:rsidP="002A71C6">
            <w:pPr>
              <w:spacing w:after="120"/>
              <w:ind w:left="360" w:right="360"/>
              <w:rPr>
                <w:rFonts w:cs="Arial"/>
              </w:rPr>
            </w:pPr>
          </w:p>
          <w:p w14:paraId="4B22D15A" w14:textId="460D5800" w:rsidR="006907E1" w:rsidRPr="00C23133" w:rsidRDefault="006907E1" w:rsidP="006907E1">
            <w:pPr>
              <w:pStyle w:val="BodyText"/>
              <w:spacing w:after="120"/>
              <w:ind w:left="0"/>
              <w:rPr>
                <w:rFonts w:cstheme="majorHAnsi"/>
                <w:b/>
                <w:noProof/>
                <w:color w:val="000000" w:themeColor="text1"/>
                <w:sz w:val="36"/>
              </w:rPr>
            </w:pPr>
            <w:r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 xml:space="preserve">DOE </w:t>
            </w:r>
            <w:r w:rsidRPr="00C23133"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Plan Year 202</w:t>
            </w:r>
            <w:r w:rsidR="00140B38"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4</w:t>
            </w:r>
          </w:p>
          <w:p w14:paraId="11C65260" w14:textId="1BAC0CD2" w:rsidR="006907E1" w:rsidRPr="00A15F01" w:rsidRDefault="006907E1" w:rsidP="006907E1">
            <w:pPr>
              <w:pStyle w:val="BodyText"/>
              <w:spacing w:after="80"/>
              <w:ind w:left="360" w:righ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April 1, </w:t>
            </w:r>
            <w:proofErr w:type="gramStart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140B38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March 31, 202</w:t>
            </w:r>
            <w:r w:rsidR="00140B38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846AA90" w14:textId="60104275" w:rsidR="006907E1" w:rsidRDefault="006907E1" w:rsidP="006907E1">
            <w:pPr>
              <w:spacing w:after="120"/>
              <w:ind w:left="360" w:right="360"/>
              <w:rPr>
                <w:rFonts w:cs="Arial"/>
              </w:rPr>
            </w:pPr>
            <w:r w:rsidRPr="00A15F01">
              <w:rPr>
                <w:rFonts w:ascii="Arial" w:hAnsi="Arial" w:cs="Arial"/>
                <w:b/>
                <w:sz w:val="18"/>
                <w:szCs w:val="18"/>
              </w:rPr>
              <w:t>Grant Closing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  <w:r w:rsidRPr="00A15F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 CAAs must complete and inspect all DOE PY 202</w:t>
            </w:r>
            <w:r w:rsidR="00140B38">
              <w:rPr>
                <w:rFonts w:ascii="Arial" w:hAnsi="Arial" w:cs="Arial"/>
                <w:sz w:val="18"/>
                <w:szCs w:val="18"/>
              </w:rPr>
              <w:t>4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funded jobs by March 31,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C50CF">
              <w:rPr>
                <w:rFonts w:ascii="Arial" w:hAnsi="Arial" w:cs="Arial"/>
                <w:sz w:val="18"/>
                <w:szCs w:val="18"/>
              </w:rPr>
              <w:t>. The final PY 202</w:t>
            </w:r>
            <w:r w:rsidR="004E73F4">
              <w:rPr>
                <w:rFonts w:ascii="Arial" w:hAnsi="Arial" w:cs="Arial"/>
                <w:sz w:val="18"/>
                <w:szCs w:val="18"/>
              </w:rPr>
              <w:t>4</w:t>
            </w:r>
            <w:r w:rsidR="00BC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5F01">
              <w:rPr>
                <w:rFonts w:ascii="Arial" w:hAnsi="Arial" w:cs="Arial"/>
                <w:sz w:val="18"/>
                <w:szCs w:val="18"/>
              </w:rPr>
              <w:t>invoice must be submitted to MaineHousing by April 30, 202</w:t>
            </w:r>
            <w:r w:rsidR="00140B38">
              <w:rPr>
                <w:rFonts w:ascii="Arial" w:hAnsi="Arial" w:cs="Arial"/>
                <w:sz w:val="18"/>
                <w:szCs w:val="18"/>
              </w:rPr>
              <w:t>5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.  Any corrections to invoices, reworks, and/or additions to WAP jobs completed after March 31, </w:t>
            </w:r>
            <w:proofErr w:type="gramStart"/>
            <w:r w:rsidRPr="00A15F01">
              <w:rPr>
                <w:rFonts w:ascii="Arial" w:hAnsi="Arial" w:cs="Arial"/>
                <w:sz w:val="18"/>
                <w:szCs w:val="18"/>
              </w:rPr>
              <w:t>202</w:t>
            </w:r>
            <w:r w:rsidR="00140B38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A15F01">
              <w:rPr>
                <w:rFonts w:ascii="Arial" w:hAnsi="Arial" w:cs="Arial"/>
                <w:sz w:val="18"/>
                <w:szCs w:val="18"/>
              </w:rPr>
              <w:t xml:space="preserve"> may not be paid.</w:t>
            </w:r>
          </w:p>
          <w:p w14:paraId="0F355CB0" w14:textId="0D6AB51B" w:rsidR="006907E1" w:rsidRPr="00C23133" w:rsidRDefault="006907E1" w:rsidP="006907E1">
            <w:pPr>
              <w:pStyle w:val="BodyText"/>
              <w:spacing w:after="120"/>
              <w:ind w:left="0"/>
              <w:rPr>
                <w:rFonts w:cstheme="majorHAnsi"/>
                <w:b/>
                <w:noProof/>
                <w:color w:val="000000" w:themeColor="text1"/>
                <w:sz w:val="36"/>
              </w:rPr>
            </w:pPr>
            <w:r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 xml:space="preserve">BIL-DOE </w:t>
            </w:r>
            <w:r w:rsidRPr="00C23133"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Plan Year 202</w:t>
            </w:r>
            <w:r>
              <w:rPr>
                <w:rStyle w:val="Heading3Char"/>
                <w:rFonts w:ascii="Arial" w:hAnsi="Arial" w:cs="Arial"/>
                <w:i w:val="0"/>
                <w:color w:val="000000" w:themeColor="text1"/>
                <w:sz w:val="22"/>
                <w:szCs w:val="20"/>
                <w:u w:val="single"/>
              </w:rPr>
              <w:t>3</w:t>
            </w:r>
          </w:p>
          <w:p w14:paraId="0D317680" w14:textId="3505663D" w:rsidR="006907E1" w:rsidRPr="00A15F01" w:rsidRDefault="006907E1" w:rsidP="006907E1">
            <w:pPr>
              <w:pStyle w:val="BodyText"/>
              <w:spacing w:after="80"/>
              <w:ind w:left="360" w:righ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Funds are available from April 1, </w:t>
            </w:r>
            <w:proofErr w:type="gramStart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proofErr w:type="gramEnd"/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March 31,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A1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50577818" w14:textId="47EA9811" w:rsidR="006907E1" w:rsidRDefault="006907E1" w:rsidP="006907E1">
            <w:pPr>
              <w:spacing w:after="120"/>
              <w:ind w:left="360" w:right="360"/>
              <w:rPr>
                <w:rFonts w:cs="Arial"/>
              </w:rPr>
            </w:pPr>
            <w:r w:rsidRPr="00A15F01">
              <w:rPr>
                <w:rFonts w:ascii="Arial" w:hAnsi="Arial" w:cs="Arial"/>
                <w:b/>
                <w:sz w:val="18"/>
                <w:szCs w:val="18"/>
              </w:rPr>
              <w:t>Grant Closing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  <w:r w:rsidRPr="00A15F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 CAAs must complete and inspect all </w:t>
            </w:r>
            <w:r>
              <w:rPr>
                <w:rFonts w:ascii="Arial" w:hAnsi="Arial" w:cs="Arial"/>
                <w:sz w:val="18"/>
                <w:szCs w:val="18"/>
              </w:rPr>
              <w:t>BIL-</w:t>
            </w:r>
            <w:r w:rsidRPr="00A15F01">
              <w:rPr>
                <w:rFonts w:ascii="Arial" w:hAnsi="Arial" w:cs="Arial"/>
                <w:sz w:val="18"/>
                <w:szCs w:val="18"/>
              </w:rPr>
              <w:t>DOE PY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funded jobs by March 31,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50CF">
              <w:rPr>
                <w:rFonts w:ascii="Arial" w:hAnsi="Arial" w:cs="Arial"/>
                <w:sz w:val="18"/>
                <w:szCs w:val="18"/>
              </w:rPr>
              <w:t>. The final PY 2023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 invoice must be submitted to MaineHousing by April 30,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15F01">
              <w:rPr>
                <w:rFonts w:ascii="Arial" w:hAnsi="Arial" w:cs="Arial"/>
                <w:sz w:val="18"/>
                <w:szCs w:val="18"/>
              </w:rPr>
              <w:t xml:space="preserve">.  Any corrections to invoices, reworks, and/or additions to WAP jobs completed after March 31, </w:t>
            </w:r>
            <w:proofErr w:type="gramStart"/>
            <w:r w:rsidRPr="00A15F01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A15F01">
              <w:rPr>
                <w:rFonts w:ascii="Arial" w:hAnsi="Arial" w:cs="Arial"/>
                <w:sz w:val="18"/>
                <w:szCs w:val="18"/>
              </w:rPr>
              <w:t xml:space="preserve"> may not be paid.</w:t>
            </w:r>
          </w:p>
        </w:tc>
      </w:tr>
      <w:tr w:rsidR="003F6E5F" w:rsidRPr="00A911E0" w14:paraId="1A7C4435" w14:textId="77777777" w:rsidTr="00024AB3">
        <w:trPr>
          <w:trHeight w:val="288"/>
          <w:jc w:val="center"/>
        </w:trPr>
        <w:tc>
          <w:tcPr>
            <w:tcW w:w="10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13F0D" w14:textId="2E6B28FD" w:rsidR="006907E1" w:rsidRDefault="00F266AE" w:rsidP="001A4685">
            <w:pPr>
              <w:pStyle w:val="BodyText"/>
              <w:spacing w:before="120" w:after="120"/>
              <w:ind w:left="0"/>
              <w:jc w:val="center"/>
              <w:rPr>
                <w:rFonts w:asciiTheme="minorHAnsi" w:hAnsiTheme="minorHAnsi" w:cs="Arial"/>
              </w:rPr>
            </w:pPr>
            <w:bookmarkStart w:id="1" w:name="_Toc4487466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Funding provided by </w:t>
            </w:r>
            <w:r w:rsidR="003F6E5F" w:rsidRPr="003F6E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Department of Health and Human Services (DHHS)</w:t>
            </w:r>
            <w:bookmarkEnd w:id="1"/>
          </w:p>
          <w:p w14:paraId="20326D35" w14:textId="1FA4D84F" w:rsidR="006907E1" w:rsidRPr="003F6E5F" w:rsidRDefault="006907E1" w:rsidP="006907E1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HEAP </w:t>
            </w:r>
            <w:proofErr w:type="spellStart"/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Wx</w:t>
            </w:r>
            <w:proofErr w:type="spellEnd"/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Plan Year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3</w:t>
            </w:r>
          </w:p>
          <w:p w14:paraId="49945EEC" w14:textId="50602035" w:rsidR="006907E1" w:rsidRPr="003F6E5F" w:rsidRDefault="006907E1" w:rsidP="006907E1">
            <w:pPr>
              <w:pStyle w:val="BodyText"/>
              <w:spacing w:after="80"/>
              <w:ind w:left="360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Funds are available from October 1, </w:t>
            </w:r>
            <w:proofErr w:type="gramStart"/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</w:t>
            </w:r>
            <w:r w:rsidR="004E73F4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30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2024</w:t>
            </w:r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78840EC" w14:textId="6AD26675" w:rsidR="009A7DE1" w:rsidRDefault="006907E1" w:rsidP="006907E1">
            <w:pPr>
              <w:pStyle w:val="BodyText"/>
              <w:spacing w:after="120"/>
              <w:ind w:left="360"/>
              <w:rPr>
                <w:rFonts w:asciiTheme="minorHAnsi" w:hAnsiTheme="minorHAnsi" w:cs="Arial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18"/>
              </w:rPr>
              <w:t>Grant Closing Requirements: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 CAAs must complete and inspect all HEAP PY 20</w:t>
            </w:r>
            <w:r>
              <w:rPr>
                <w:rFonts w:ascii="Arial" w:hAnsi="Arial" w:cs="Arial"/>
                <w:color w:val="000000" w:themeColor="text1"/>
                <w:sz w:val="18"/>
              </w:rPr>
              <w:t>23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funded jobs by </w:t>
            </w:r>
            <w:r w:rsidR="004E73F4">
              <w:rPr>
                <w:rFonts w:ascii="Arial" w:hAnsi="Arial" w:cs="Arial"/>
                <w:color w:val="000000" w:themeColor="text1"/>
                <w:sz w:val="18"/>
              </w:rPr>
              <w:t>September 30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, 202</w:t>
            </w:r>
            <w:r>
              <w:rPr>
                <w:rFonts w:ascii="Arial" w:hAnsi="Arial" w:cs="Arial"/>
                <w:color w:val="000000" w:themeColor="text1"/>
                <w:sz w:val="18"/>
              </w:rPr>
              <w:t>4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.  The final PY 20</w:t>
            </w:r>
            <w:r w:rsidR="00BC50CF">
              <w:rPr>
                <w:rFonts w:ascii="Arial" w:hAnsi="Arial" w:cs="Arial"/>
                <w:color w:val="000000" w:themeColor="text1"/>
                <w:sz w:val="18"/>
              </w:rPr>
              <w:t>23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invoice must be submitted to MaineHousing by </w:t>
            </w:r>
            <w:r w:rsidR="004E73F4">
              <w:rPr>
                <w:rFonts w:ascii="Arial" w:hAnsi="Arial" w:cs="Arial"/>
                <w:color w:val="000000" w:themeColor="text1"/>
                <w:sz w:val="18"/>
              </w:rPr>
              <w:t>October 31</w:t>
            </w:r>
            <w:r>
              <w:rPr>
                <w:rFonts w:ascii="Arial" w:hAnsi="Arial" w:cs="Arial"/>
                <w:color w:val="000000" w:themeColor="text1"/>
                <w:sz w:val="18"/>
              </w:rPr>
              <w:t>, 2024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.  Any corrections to invoices, reworks, and/or additions to WAP jobs completed after </w:t>
            </w:r>
            <w:r w:rsidR="004E73F4">
              <w:rPr>
                <w:rFonts w:ascii="Arial" w:hAnsi="Arial" w:cs="Arial"/>
                <w:color w:val="000000" w:themeColor="text1"/>
                <w:sz w:val="18"/>
              </w:rPr>
              <w:t>September 30</w:t>
            </w:r>
            <w:r>
              <w:rPr>
                <w:rFonts w:ascii="Arial" w:hAnsi="Arial" w:cs="Arial"/>
                <w:color w:val="000000" w:themeColor="text1"/>
                <w:sz w:val="18"/>
              </w:rPr>
              <w:t>, 2024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, or later by contract amendment, may not be paid</w:t>
            </w:r>
            <w:r>
              <w:rPr>
                <w:rFonts w:ascii="Arial" w:hAnsi="Arial" w:cs="Arial"/>
                <w:color w:val="000000" w:themeColor="text1"/>
                <w:sz w:val="18"/>
              </w:rPr>
              <w:t>.</w:t>
            </w:r>
          </w:p>
          <w:p w14:paraId="312F5A94" w14:textId="5FEB8A5F" w:rsidR="009A7DE1" w:rsidRPr="003F6E5F" w:rsidRDefault="009A7DE1" w:rsidP="009A7DE1">
            <w:pPr>
              <w:pStyle w:val="BodyText"/>
              <w:spacing w:after="12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HEAP </w:t>
            </w:r>
            <w:proofErr w:type="spellStart"/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Wx</w:t>
            </w:r>
            <w:proofErr w:type="spellEnd"/>
            <w:r w:rsidRPr="003F6E5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Plan Year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00B2A621" w14:textId="6A955391" w:rsidR="009A7DE1" w:rsidRPr="003F6E5F" w:rsidRDefault="009A7DE1" w:rsidP="009A7DE1">
            <w:pPr>
              <w:pStyle w:val="BodyText"/>
              <w:spacing w:after="80"/>
              <w:ind w:left="360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Funds are available from October 1, </w:t>
            </w:r>
            <w:proofErr w:type="gramStart"/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proofErr w:type="gramEnd"/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March 31, 2025</w:t>
            </w:r>
            <w:r w:rsidRPr="003F6E5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631404B" w14:textId="20E145AF" w:rsidR="009A7DE1" w:rsidRDefault="009A7DE1" w:rsidP="009A7DE1">
            <w:pPr>
              <w:pStyle w:val="BodyText"/>
              <w:spacing w:after="120"/>
              <w:ind w:left="360"/>
              <w:rPr>
                <w:rFonts w:asciiTheme="minorHAnsi" w:hAnsiTheme="minorHAnsi" w:cs="Arial"/>
              </w:rPr>
            </w:pPr>
            <w:r w:rsidRPr="003F6E5F">
              <w:rPr>
                <w:rFonts w:ascii="Arial" w:hAnsi="Arial" w:cs="Arial"/>
                <w:b/>
                <w:color w:val="000000" w:themeColor="text1"/>
                <w:sz w:val="18"/>
              </w:rPr>
              <w:t>Grant Closing Requirements: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 CAAs must complete and inspect all HEAP PY 20</w:t>
            </w:r>
            <w:r>
              <w:rPr>
                <w:rFonts w:ascii="Arial" w:hAnsi="Arial" w:cs="Arial"/>
                <w:color w:val="000000" w:themeColor="text1"/>
                <w:sz w:val="18"/>
              </w:rPr>
              <w:t>23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funded jobs by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March 31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, 202</w:t>
            </w:r>
            <w:r>
              <w:rPr>
                <w:rFonts w:ascii="Arial" w:hAnsi="Arial" w:cs="Arial"/>
                <w:color w:val="000000" w:themeColor="text1"/>
                <w:sz w:val="18"/>
              </w:rPr>
              <w:t>5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.  The final PY 20</w:t>
            </w:r>
            <w:r>
              <w:rPr>
                <w:rFonts w:ascii="Arial" w:hAnsi="Arial" w:cs="Arial"/>
                <w:color w:val="000000" w:themeColor="text1"/>
                <w:sz w:val="18"/>
              </w:rPr>
              <w:t>24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 invoice must be submitted to MaineHousing by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April 30, 2025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 xml:space="preserve">.  Any corrections to invoices, reworks, and/or additions to WAP jobs completed after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March 31, 2025</w:t>
            </w:r>
            <w:r w:rsidRPr="003F6E5F">
              <w:rPr>
                <w:rFonts w:ascii="Arial" w:hAnsi="Arial" w:cs="Arial"/>
                <w:color w:val="000000" w:themeColor="text1"/>
                <w:sz w:val="18"/>
              </w:rPr>
              <w:t>, or later by contract amendment, may not be paid</w:t>
            </w:r>
            <w:r>
              <w:rPr>
                <w:rFonts w:ascii="Arial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2D946E82" w14:textId="2E4C29C9" w:rsidR="003F6E5F" w:rsidRDefault="003F6E5F" w:rsidP="006207F3">
      <w:pPr>
        <w:pStyle w:val="BodyText"/>
        <w:widowControl/>
        <w:suppressAutoHyphens/>
        <w:spacing w:after="120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3AEBCDE6" w14:textId="77777777" w:rsidR="00187454" w:rsidRPr="00A15F01" w:rsidRDefault="00187454" w:rsidP="006207F3">
      <w:pPr>
        <w:pStyle w:val="BodyText"/>
        <w:widowControl/>
        <w:suppressAutoHyphens/>
        <w:spacing w:after="120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sectPr w:rsidR="00187454" w:rsidRPr="00A15F01" w:rsidSect="00226A9A">
      <w:footerReference w:type="default" r:id="rId8"/>
      <w:type w:val="continuous"/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0926F" w14:textId="77777777" w:rsidR="00DB4B83" w:rsidRDefault="00DB4B83" w:rsidP="00A37445">
      <w:r>
        <w:separator/>
      </w:r>
    </w:p>
  </w:endnote>
  <w:endnote w:type="continuationSeparator" w:id="0">
    <w:p w14:paraId="0574F569" w14:textId="77777777" w:rsidR="00DB4B83" w:rsidRDefault="00DB4B83" w:rsidP="00A3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5A95E" w14:textId="09E2A49E" w:rsidR="00A37445" w:rsidRPr="00734775" w:rsidRDefault="00F266AE" w:rsidP="00024AB3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Prepared</w:t>
    </w:r>
    <w:r w:rsidR="00A37445" w:rsidRPr="00734775">
      <w:rPr>
        <w:rFonts w:ascii="Arial" w:hAnsi="Arial" w:cs="Arial"/>
        <w:sz w:val="18"/>
        <w:szCs w:val="18"/>
      </w:rPr>
      <w:t xml:space="preserve"> by MaineHousing</w:t>
    </w:r>
    <w:r w:rsidR="007A522D">
      <w:rPr>
        <w:rFonts w:ascii="Arial" w:hAnsi="Arial" w:cs="Arial"/>
        <w:sz w:val="18"/>
        <w:szCs w:val="18"/>
      </w:rPr>
      <w:tab/>
    </w:r>
    <w:r w:rsidR="00024AB3">
      <w:rPr>
        <w:rFonts w:ascii="Arial" w:hAnsi="Arial" w:cs="Arial"/>
        <w:sz w:val="18"/>
        <w:szCs w:val="18"/>
      </w:rPr>
      <w:t xml:space="preserve">page </w:t>
    </w:r>
    <w:r w:rsidR="00024AB3" w:rsidRPr="00024AB3">
      <w:rPr>
        <w:rFonts w:ascii="Arial" w:hAnsi="Arial" w:cs="Arial"/>
        <w:sz w:val="18"/>
        <w:szCs w:val="18"/>
      </w:rPr>
      <w:fldChar w:fldCharType="begin"/>
    </w:r>
    <w:r w:rsidR="00024AB3" w:rsidRPr="00024AB3">
      <w:rPr>
        <w:rFonts w:ascii="Arial" w:hAnsi="Arial" w:cs="Arial"/>
        <w:sz w:val="18"/>
        <w:szCs w:val="18"/>
      </w:rPr>
      <w:instrText xml:space="preserve"> PAGE   \* MERGEFORMAT </w:instrText>
    </w:r>
    <w:r w:rsidR="00024AB3" w:rsidRPr="00024AB3">
      <w:rPr>
        <w:rFonts w:ascii="Arial" w:hAnsi="Arial" w:cs="Arial"/>
        <w:sz w:val="18"/>
        <w:szCs w:val="18"/>
      </w:rPr>
      <w:fldChar w:fldCharType="separate"/>
    </w:r>
    <w:r w:rsidR="003B5A8F">
      <w:rPr>
        <w:rFonts w:ascii="Arial" w:hAnsi="Arial" w:cs="Arial"/>
        <w:noProof/>
        <w:sz w:val="18"/>
        <w:szCs w:val="18"/>
      </w:rPr>
      <w:t>1</w:t>
    </w:r>
    <w:r w:rsidR="00024AB3" w:rsidRPr="00024AB3">
      <w:rPr>
        <w:rFonts w:ascii="Arial" w:hAnsi="Arial" w:cs="Arial"/>
        <w:noProof/>
        <w:sz w:val="18"/>
        <w:szCs w:val="18"/>
      </w:rPr>
      <w:fldChar w:fldCharType="end"/>
    </w:r>
    <w:r w:rsidR="00024AB3">
      <w:rPr>
        <w:rFonts w:ascii="Arial" w:hAnsi="Arial" w:cs="Arial"/>
        <w:noProof/>
        <w:sz w:val="18"/>
        <w:szCs w:val="18"/>
      </w:rPr>
      <w:t xml:space="preserve"> of </w:t>
    </w:r>
    <w:r w:rsidR="006207F3">
      <w:rPr>
        <w:rFonts w:ascii="Arial" w:hAnsi="Arial" w:cs="Arial"/>
        <w:noProof/>
        <w:sz w:val="18"/>
        <w:szCs w:val="18"/>
      </w:rPr>
      <w:fldChar w:fldCharType="begin"/>
    </w:r>
    <w:r w:rsidR="006207F3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6207F3">
      <w:rPr>
        <w:rFonts w:ascii="Arial" w:hAnsi="Arial" w:cs="Arial"/>
        <w:noProof/>
        <w:sz w:val="18"/>
        <w:szCs w:val="18"/>
      </w:rPr>
      <w:fldChar w:fldCharType="separate"/>
    </w:r>
    <w:r w:rsidR="003B5A8F">
      <w:rPr>
        <w:rFonts w:ascii="Arial" w:hAnsi="Arial" w:cs="Arial"/>
        <w:noProof/>
        <w:sz w:val="18"/>
        <w:szCs w:val="18"/>
      </w:rPr>
      <w:t>3</w:t>
    </w:r>
    <w:r w:rsidR="006207F3">
      <w:rPr>
        <w:rFonts w:ascii="Arial" w:hAnsi="Arial" w:cs="Arial"/>
        <w:noProof/>
        <w:sz w:val="18"/>
        <w:szCs w:val="18"/>
      </w:rPr>
      <w:fldChar w:fldCharType="end"/>
    </w:r>
    <w:r w:rsidR="00024AB3">
      <w:rPr>
        <w:rFonts w:ascii="Arial" w:hAnsi="Arial" w:cs="Arial"/>
        <w:noProof/>
        <w:sz w:val="18"/>
        <w:szCs w:val="18"/>
      </w:rPr>
      <w:t xml:space="preserve"> pages</w:t>
    </w:r>
    <w:r w:rsidR="007A522D">
      <w:rPr>
        <w:rFonts w:ascii="Arial" w:hAnsi="Arial" w:cs="Arial"/>
        <w:sz w:val="18"/>
        <w:szCs w:val="18"/>
      </w:rPr>
      <w:tab/>
    </w:r>
    <w:r w:rsidR="00642729">
      <w:rPr>
        <w:rFonts w:ascii="Arial" w:hAnsi="Arial" w:cs="Arial"/>
        <w:sz w:val="18"/>
        <w:szCs w:val="18"/>
      </w:rPr>
      <w:t xml:space="preserve">rev </w:t>
    </w:r>
    <w:r w:rsidR="0049425A">
      <w:rPr>
        <w:rFonts w:ascii="Arial" w:hAnsi="Arial" w:cs="Arial"/>
        <w:sz w:val="18"/>
        <w:szCs w:val="18"/>
      </w:rPr>
      <w:t>0</w:t>
    </w:r>
    <w:r w:rsidR="0046096E">
      <w:rPr>
        <w:rFonts w:ascii="Arial" w:hAnsi="Arial" w:cs="Arial"/>
        <w:sz w:val="18"/>
        <w:szCs w:val="18"/>
      </w:rPr>
      <w:t>7/10/2024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1F7A" w14:textId="77777777" w:rsidR="00DB4B83" w:rsidRDefault="00DB4B83" w:rsidP="00A37445">
      <w:r>
        <w:separator/>
      </w:r>
    </w:p>
  </w:footnote>
  <w:footnote w:type="continuationSeparator" w:id="0">
    <w:p w14:paraId="5E2B58C4" w14:textId="77777777" w:rsidR="00DB4B83" w:rsidRDefault="00DB4B83" w:rsidP="00A3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46485"/>
    <w:multiLevelType w:val="hybridMultilevel"/>
    <w:tmpl w:val="EC5E60E8"/>
    <w:lvl w:ilvl="0" w:tplc="F9DAE12C">
      <w:start w:val="1"/>
      <w:numFmt w:val="decimal"/>
      <w:lvlText w:val="(%1)"/>
      <w:lvlJc w:val="left"/>
      <w:pPr>
        <w:ind w:left="774" w:hanging="360"/>
      </w:pPr>
      <w:rPr>
        <w:rFonts w:asciiTheme="minorHAnsi" w:eastAsiaTheme="majorEastAsia" w:hAnsiTheme="minorHAnsi" w:cstheme="majorBidi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76D6143"/>
    <w:multiLevelType w:val="multilevel"/>
    <w:tmpl w:val="F0301E94"/>
    <w:name w:val="WAP Guidance"/>
    <w:lvl w:ilvl="0">
      <w:start w:val="1"/>
      <w:numFmt w:val="upperLetter"/>
      <w:lvlText w:val="%1."/>
      <w:lvlJc w:val="left"/>
      <w:pPr>
        <w:ind w:left="720" w:hanging="72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282C55" w:themeColor="accent1" w:themeShade="BF"/>
        <w:sz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Garamond" w:hAnsi="Garamond" w:cs="Arial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Garamond" w:hAnsi="Garamond" w:hint="default"/>
        <w:b w:val="0"/>
        <w:i w:val="0"/>
        <w:strike w:val="0"/>
        <w:dstrike w:val="0"/>
        <w:color w:val="000000"/>
        <w:spacing w:val="-1"/>
        <w:w w:val="99"/>
        <w:sz w:val="24"/>
        <w:szCs w:val="22"/>
        <w:u w:val="none" w:color="000000"/>
        <w:vertAlign w:val="baseline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Garamond" w:hAnsi="Garamond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Garamond" w:eastAsia="Arial" w:hAnsi="Garamond" w:cstheme="minorBidi" w:hint="default"/>
        <w:sz w:val="24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ascii="Garamond" w:hAnsi="Garamond" w:cs="Times New Roman"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26610075">
    <w:abstractNumId w:val="1"/>
  </w:num>
  <w:num w:numId="2" w16cid:durableId="45672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7F"/>
    <w:rsid w:val="00024AB3"/>
    <w:rsid w:val="00053F79"/>
    <w:rsid w:val="00067D21"/>
    <w:rsid w:val="00094300"/>
    <w:rsid w:val="000F0B57"/>
    <w:rsid w:val="00140B38"/>
    <w:rsid w:val="001827C4"/>
    <w:rsid w:val="00187454"/>
    <w:rsid w:val="0019553F"/>
    <w:rsid w:val="001A4685"/>
    <w:rsid w:val="001E04A0"/>
    <w:rsid w:val="00213CA7"/>
    <w:rsid w:val="00226A9A"/>
    <w:rsid w:val="0023087F"/>
    <w:rsid w:val="002A71C6"/>
    <w:rsid w:val="002C308F"/>
    <w:rsid w:val="00313A24"/>
    <w:rsid w:val="003A3F01"/>
    <w:rsid w:val="003B5A8F"/>
    <w:rsid w:val="003C14D0"/>
    <w:rsid w:val="003D0CB1"/>
    <w:rsid w:val="003D37AA"/>
    <w:rsid w:val="003F6E5F"/>
    <w:rsid w:val="00407653"/>
    <w:rsid w:val="004160AB"/>
    <w:rsid w:val="004274D9"/>
    <w:rsid w:val="0045184A"/>
    <w:rsid w:val="0046096E"/>
    <w:rsid w:val="0049425A"/>
    <w:rsid w:val="004E2363"/>
    <w:rsid w:val="004E73F4"/>
    <w:rsid w:val="005555E6"/>
    <w:rsid w:val="005B3AB8"/>
    <w:rsid w:val="005B5107"/>
    <w:rsid w:val="005C02BD"/>
    <w:rsid w:val="006207F3"/>
    <w:rsid w:val="00642729"/>
    <w:rsid w:val="006873FD"/>
    <w:rsid w:val="006907E1"/>
    <w:rsid w:val="006A0E53"/>
    <w:rsid w:val="006D0A68"/>
    <w:rsid w:val="00734775"/>
    <w:rsid w:val="007872B3"/>
    <w:rsid w:val="007A522D"/>
    <w:rsid w:val="007D2C67"/>
    <w:rsid w:val="007E3E15"/>
    <w:rsid w:val="00833C8D"/>
    <w:rsid w:val="00845172"/>
    <w:rsid w:val="00894B12"/>
    <w:rsid w:val="008D2605"/>
    <w:rsid w:val="00950218"/>
    <w:rsid w:val="0095722E"/>
    <w:rsid w:val="009650EC"/>
    <w:rsid w:val="00982B8C"/>
    <w:rsid w:val="009A7DE1"/>
    <w:rsid w:val="009F1B74"/>
    <w:rsid w:val="00A10028"/>
    <w:rsid w:val="00A15F01"/>
    <w:rsid w:val="00A171A2"/>
    <w:rsid w:val="00A21371"/>
    <w:rsid w:val="00A37445"/>
    <w:rsid w:val="00A72924"/>
    <w:rsid w:val="00B12402"/>
    <w:rsid w:val="00B16C15"/>
    <w:rsid w:val="00B22809"/>
    <w:rsid w:val="00B87CF1"/>
    <w:rsid w:val="00BB53E5"/>
    <w:rsid w:val="00BC3E7A"/>
    <w:rsid w:val="00BC50CF"/>
    <w:rsid w:val="00BF036E"/>
    <w:rsid w:val="00C23133"/>
    <w:rsid w:val="00C4360E"/>
    <w:rsid w:val="00C47F0E"/>
    <w:rsid w:val="00C53EE5"/>
    <w:rsid w:val="00C7008D"/>
    <w:rsid w:val="00CA3F50"/>
    <w:rsid w:val="00CC5623"/>
    <w:rsid w:val="00CD48B9"/>
    <w:rsid w:val="00D426FB"/>
    <w:rsid w:val="00D475E3"/>
    <w:rsid w:val="00D55AF8"/>
    <w:rsid w:val="00D66B51"/>
    <w:rsid w:val="00D77BCC"/>
    <w:rsid w:val="00DB4B83"/>
    <w:rsid w:val="00E45F35"/>
    <w:rsid w:val="00E618BB"/>
    <w:rsid w:val="00E95980"/>
    <w:rsid w:val="00EC119B"/>
    <w:rsid w:val="00F053A9"/>
    <w:rsid w:val="00F1255D"/>
    <w:rsid w:val="00F15B2C"/>
    <w:rsid w:val="00F266AE"/>
    <w:rsid w:val="00F53349"/>
    <w:rsid w:val="00FA14C6"/>
    <w:rsid w:val="00FC4065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B0CA"/>
  <w15:chartTrackingRefBased/>
  <w15:docId w15:val="{317F38B6-BBC0-4FE3-AACC-C4322260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7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6E"/>
    <w:pPr>
      <w:keepNext/>
      <w:keepLines/>
      <w:pBdr>
        <w:top w:val="single" w:sz="4" w:space="1" w:color="auto"/>
        <w:bottom w:val="single" w:sz="4" w:space="1" w:color="auto"/>
      </w:pBdr>
      <w:spacing w:before="240"/>
      <w:jc w:val="center"/>
      <w:outlineLvl w:val="0"/>
    </w:pPr>
    <w:rPr>
      <w:rFonts w:eastAsiaTheme="majorEastAsia" w:cstheme="majorBidi"/>
      <w:b/>
      <w:color w:val="282C55" w:themeColor="accent1" w:themeShade="BF"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F036E"/>
    <w:pPr>
      <w:spacing w:before="240" w:after="200"/>
      <w:ind w:left="0" w:right="110"/>
      <w:outlineLvl w:val="1"/>
    </w:pPr>
    <w:rPr>
      <w:b/>
      <w:color w:val="282C55" w:themeColor="accent1" w:themeShade="BF"/>
      <w:sz w:val="32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BF036E"/>
    <w:pPr>
      <w:spacing w:before="240" w:after="200"/>
      <w:ind w:left="720"/>
      <w:outlineLvl w:val="2"/>
    </w:pPr>
    <w:rPr>
      <w:rFonts w:asciiTheme="minorHAnsi" w:hAnsiTheme="minorHAnsi"/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60E"/>
    <w:pPr>
      <w:keepNext/>
      <w:keepLines/>
      <w:spacing w:before="40"/>
      <w:ind w:left="720" w:firstLine="720"/>
      <w:outlineLvl w:val="3"/>
    </w:pPr>
    <w:rPr>
      <w:rFonts w:ascii="Garamond" w:eastAsiaTheme="majorEastAsia" w:hAnsi="Garamond" w:cstheme="majorBidi"/>
      <w:b/>
      <w:iCs/>
      <w:color w:val="282C55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51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5172"/>
    <w:rPr>
      <w:rFonts w:eastAsiaTheme="minorEastAsia"/>
      <w:color w:val="5A5A5A" w:themeColor="text1" w:themeTint="A5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036E"/>
    <w:rPr>
      <w:rFonts w:ascii="Garamond" w:eastAsia="Garamond" w:hAnsi="Garamond"/>
      <w:b/>
      <w:color w:val="282C55" w:themeColor="accent1" w:themeShade="BF"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23087F"/>
    <w:pPr>
      <w:widowControl w:val="0"/>
      <w:ind w:left="460"/>
    </w:pPr>
    <w:rPr>
      <w:rFonts w:ascii="Garamond" w:eastAsia="Garamond" w:hAnsi="Garamond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087F"/>
    <w:rPr>
      <w:rFonts w:ascii="Garamond" w:eastAsia="Garamond" w:hAnsi="Garam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7F"/>
    <w:pPr>
      <w:widowControl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7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036E"/>
    <w:rPr>
      <w:rFonts w:eastAsia="Garamond"/>
      <w:b/>
      <w:i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036E"/>
    <w:rPr>
      <w:rFonts w:eastAsiaTheme="majorEastAsia" w:cstheme="majorBidi"/>
      <w:b/>
      <w:color w:val="282C5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360E"/>
    <w:rPr>
      <w:rFonts w:ascii="Garamond" w:eastAsiaTheme="majorEastAsia" w:hAnsi="Garamond" w:cstheme="majorBidi"/>
      <w:b/>
      <w:iCs/>
      <w:color w:val="282C55" w:themeColor="accent1" w:themeShade="BF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4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3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4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605"/>
    <w:pPr>
      <w:widowControl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6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aineHousing">
  <a:themeElements>
    <a:clrScheme name="MaineHousing">
      <a:dk1>
        <a:srgbClr val="000000"/>
      </a:dk1>
      <a:lt1>
        <a:srgbClr val="FFFFFF"/>
      </a:lt1>
      <a:dk2>
        <a:srgbClr val="363B73"/>
      </a:dk2>
      <a:lt2>
        <a:srgbClr val="EEECE1"/>
      </a:lt2>
      <a:accent1>
        <a:srgbClr val="363B73"/>
      </a:accent1>
      <a:accent2>
        <a:srgbClr val="AFBD20"/>
      </a:accent2>
      <a:accent3>
        <a:srgbClr val="E9A713"/>
      </a:accent3>
      <a:accent4>
        <a:srgbClr val="E4701D"/>
      </a:accent4>
      <a:accent5>
        <a:srgbClr val="7379BD"/>
      </a:accent5>
      <a:accent6>
        <a:srgbClr val="DAE56A"/>
      </a:accent6>
      <a:hlink>
        <a:srgbClr val="0000FF"/>
      </a:hlink>
      <a:folHlink>
        <a:srgbClr val="800080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Vigue</dc:creator>
  <cp:keywords/>
  <dc:description/>
  <cp:lastModifiedBy>Brad Fenton-Snell</cp:lastModifiedBy>
  <cp:revision>3</cp:revision>
  <cp:lastPrinted>2024-07-10T12:40:00Z</cp:lastPrinted>
  <dcterms:created xsi:type="dcterms:W3CDTF">2024-07-10T13:27:00Z</dcterms:created>
  <dcterms:modified xsi:type="dcterms:W3CDTF">2024-07-10T13:27:00Z</dcterms:modified>
</cp:coreProperties>
</file>